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46D1" w14:textId="0E3241B6" w:rsidR="0098189E" w:rsidRDefault="003C4CE1" w:rsidP="006E009B">
      <w:pPr>
        <w:spacing w:line="240" w:lineRule="auto"/>
        <w:contextualSpacing/>
        <w:jc w:val="center"/>
        <w:rPr>
          <w:rFonts w:ascii="Garamond" w:hAnsi="Garamond"/>
          <w:b/>
          <w:sz w:val="28"/>
          <w:szCs w:val="28"/>
        </w:rPr>
      </w:pPr>
      <w:r w:rsidRPr="003C4CE1">
        <w:rPr>
          <w:rFonts w:ascii="Garamond" w:hAnsi="Garamond"/>
          <w:b/>
          <w:noProof/>
          <w:sz w:val="28"/>
          <w:szCs w:val="28"/>
        </w:rPr>
        <w:drawing>
          <wp:inline distT="0" distB="0" distL="0" distR="0" wp14:anchorId="390F8AE8" wp14:editId="32B75986">
            <wp:extent cx="5943600" cy="4457700"/>
            <wp:effectExtent l="0" t="0" r="0" b="0"/>
            <wp:docPr id="2050" name="Picture 2" descr="Woman uses magnifying glass to examine documents">
              <a:extLst xmlns:a="http://schemas.openxmlformats.org/drawingml/2006/main">
                <a:ext uri="{FF2B5EF4-FFF2-40B4-BE49-F238E27FC236}">
                  <a16:creationId xmlns:a16="http://schemas.microsoft.com/office/drawing/2014/main" id="{228318AC-A9A6-4802-A1B9-F345BCD65B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Woman uses magnifying glass to examine documents">
                      <a:extLst>
                        <a:ext uri="{FF2B5EF4-FFF2-40B4-BE49-F238E27FC236}">
                          <a16:creationId xmlns:a16="http://schemas.microsoft.com/office/drawing/2014/main" id="{228318AC-A9A6-4802-A1B9-F345BCD65B0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2821" b="716"/>
                    <a:stretch/>
                  </pic:blipFill>
                  <pic:spPr bwMode="auto">
                    <a:xfrm>
                      <a:off x="0" y="0"/>
                      <a:ext cx="5943600" cy="4457700"/>
                    </a:xfrm>
                    <a:prstGeom prst="rect">
                      <a:avLst/>
                    </a:prstGeom>
                    <a:noFill/>
                  </pic:spPr>
                </pic:pic>
              </a:graphicData>
            </a:graphic>
          </wp:inline>
        </w:drawing>
      </w:r>
    </w:p>
    <w:p w14:paraId="12B795D5" w14:textId="4989C2DC" w:rsidR="00390D64" w:rsidRDefault="00390D64" w:rsidP="006E009B">
      <w:pPr>
        <w:spacing w:line="240" w:lineRule="auto"/>
        <w:contextualSpacing/>
        <w:jc w:val="center"/>
        <w:rPr>
          <w:rFonts w:ascii="Garamond" w:hAnsi="Garamond"/>
          <w:b/>
          <w:sz w:val="28"/>
          <w:szCs w:val="28"/>
        </w:rPr>
      </w:pPr>
      <w:r>
        <w:rPr>
          <w:rFonts w:ascii="Garamond" w:hAnsi="Garamond"/>
          <w:b/>
          <w:sz w:val="28"/>
          <w:szCs w:val="28"/>
        </w:rPr>
        <w:t>Qualitative Methods in International Relations</w:t>
      </w:r>
    </w:p>
    <w:p w14:paraId="1C181BD6" w14:textId="796AD699" w:rsidR="00BC6F52" w:rsidRDefault="00BC6F52" w:rsidP="006E009B">
      <w:pPr>
        <w:spacing w:line="240" w:lineRule="auto"/>
        <w:contextualSpacing/>
        <w:jc w:val="center"/>
        <w:rPr>
          <w:rFonts w:ascii="Garamond" w:hAnsi="Garamond"/>
          <w:b/>
          <w:sz w:val="28"/>
          <w:szCs w:val="28"/>
        </w:rPr>
      </w:pPr>
      <w:r>
        <w:rPr>
          <w:rFonts w:ascii="Garamond" w:hAnsi="Garamond"/>
          <w:b/>
          <w:sz w:val="28"/>
          <w:szCs w:val="28"/>
        </w:rPr>
        <w:t>Spring</w:t>
      </w:r>
      <w:r w:rsidRPr="003C4D9C">
        <w:rPr>
          <w:rFonts w:ascii="Garamond" w:hAnsi="Garamond"/>
          <w:b/>
          <w:sz w:val="28"/>
          <w:szCs w:val="28"/>
        </w:rPr>
        <w:t xml:space="preserve"> 20</w:t>
      </w:r>
      <w:r w:rsidR="00145A1C">
        <w:rPr>
          <w:rFonts w:ascii="Garamond" w:hAnsi="Garamond"/>
          <w:b/>
          <w:sz w:val="28"/>
          <w:szCs w:val="28"/>
        </w:rPr>
        <w:t>2</w:t>
      </w:r>
      <w:r w:rsidR="00383662">
        <w:rPr>
          <w:rFonts w:ascii="Garamond" w:hAnsi="Garamond"/>
          <w:b/>
          <w:sz w:val="28"/>
          <w:szCs w:val="28"/>
        </w:rPr>
        <w:t>3</w:t>
      </w:r>
    </w:p>
    <w:p w14:paraId="27B6F949" w14:textId="77777777" w:rsidR="0067259B" w:rsidRDefault="0067259B" w:rsidP="00BC6F52">
      <w:pPr>
        <w:spacing w:line="240" w:lineRule="auto"/>
        <w:contextualSpacing/>
        <w:jc w:val="center"/>
        <w:rPr>
          <w:rFonts w:ascii="Garamond" w:hAnsi="Garamond"/>
          <w:b/>
          <w:sz w:val="28"/>
          <w:szCs w:val="28"/>
        </w:rPr>
      </w:pPr>
      <w:r w:rsidRPr="0067259B">
        <w:rPr>
          <w:rFonts w:ascii="Garamond" w:hAnsi="Garamond"/>
          <w:b/>
          <w:sz w:val="28"/>
          <w:szCs w:val="28"/>
        </w:rPr>
        <w:t>SIS-807-001</w:t>
      </w:r>
    </w:p>
    <w:p w14:paraId="5ADD943B" w14:textId="193D74D2" w:rsidR="0067259B" w:rsidRDefault="0098189E" w:rsidP="00CF6A28">
      <w:pPr>
        <w:spacing w:line="240" w:lineRule="auto"/>
        <w:contextualSpacing/>
        <w:jc w:val="center"/>
        <w:rPr>
          <w:rFonts w:ascii="Garamond" w:hAnsi="Garamond"/>
          <w:b/>
          <w:sz w:val="28"/>
          <w:szCs w:val="28"/>
        </w:rPr>
      </w:pPr>
      <w:r w:rsidRPr="0098189E">
        <w:rPr>
          <w:rFonts w:ascii="Garamond" w:hAnsi="Garamond"/>
          <w:b/>
          <w:sz w:val="28"/>
          <w:szCs w:val="28"/>
        </w:rPr>
        <w:t xml:space="preserve">Mon 2:30 </w:t>
      </w:r>
      <w:r w:rsidR="00AD2BED">
        <w:rPr>
          <w:rFonts w:ascii="Garamond" w:hAnsi="Garamond"/>
          <w:b/>
          <w:sz w:val="28"/>
          <w:szCs w:val="28"/>
        </w:rPr>
        <w:t>pm</w:t>
      </w:r>
      <w:r w:rsidRPr="0098189E">
        <w:rPr>
          <w:rFonts w:ascii="Garamond" w:hAnsi="Garamond"/>
          <w:b/>
          <w:sz w:val="28"/>
          <w:szCs w:val="28"/>
        </w:rPr>
        <w:t xml:space="preserve"> </w:t>
      </w:r>
      <w:r w:rsidR="00D44F0F">
        <w:rPr>
          <w:rFonts w:ascii="Garamond" w:hAnsi="Garamond"/>
          <w:b/>
          <w:sz w:val="28"/>
          <w:szCs w:val="28"/>
        </w:rPr>
        <w:t>to</w:t>
      </w:r>
      <w:r w:rsidRPr="0098189E">
        <w:rPr>
          <w:rFonts w:ascii="Garamond" w:hAnsi="Garamond"/>
          <w:b/>
          <w:sz w:val="28"/>
          <w:szCs w:val="28"/>
        </w:rPr>
        <w:t xml:space="preserve"> 5:20 </w:t>
      </w:r>
      <w:r w:rsidR="00AD2BED">
        <w:rPr>
          <w:rFonts w:ascii="Garamond" w:hAnsi="Garamond"/>
          <w:b/>
          <w:sz w:val="28"/>
          <w:szCs w:val="28"/>
        </w:rPr>
        <w:t>pm</w:t>
      </w:r>
    </w:p>
    <w:p w14:paraId="5123183C" w14:textId="2A3C6C73" w:rsidR="00CF6A28" w:rsidRPr="00A41FE4" w:rsidRDefault="00CF6A28" w:rsidP="00CF6A28">
      <w:pPr>
        <w:spacing w:line="240" w:lineRule="auto"/>
        <w:contextualSpacing/>
        <w:jc w:val="center"/>
        <w:rPr>
          <w:rFonts w:ascii="Garamond" w:hAnsi="Garamond"/>
          <w:b/>
          <w:color w:val="FF0000"/>
          <w:sz w:val="28"/>
          <w:szCs w:val="28"/>
        </w:rPr>
      </w:pPr>
      <w:r w:rsidRPr="00AD00EF">
        <w:rPr>
          <w:rFonts w:ascii="Garamond" w:hAnsi="Garamond"/>
          <w:b/>
          <w:color w:val="000000" w:themeColor="text1"/>
          <w:sz w:val="28"/>
          <w:szCs w:val="28"/>
        </w:rPr>
        <w:t xml:space="preserve">Office Hours: </w:t>
      </w:r>
      <w:r>
        <w:rPr>
          <w:rFonts w:ascii="Garamond" w:hAnsi="Garamond"/>
          <w:b/>
          <w:color w:val="000000" w:themeColor="text1"/>
          <w:sz w:val="28"/>
          <w:szCs w:val="28"/>
        </w:rPr>
        <w:t>Thursdays</w:t>
      </w:r>
      <w:r w:rsidRPr="00AD00EF">
        <w:rPr>
          <w:rFonts w:ascii="Garamond" w:hAnsi="Garamond"/>
          <w:b/>
          <w:color w:val="000000" w:themeColor="text1"/>
          <w:sz w:val="28"/>
          <w:szCs w:val="28"/>
        </w:rPr>
        <w:t xml:space="preserve"> 9 am to 1 pm</w:t>
      </w:r>
      <w:r w:rsidR="00D6402E">
        <w:rPr>
          <w:rFonts w:ascii="Garamond" w:hAnsi="Garamond"/>
          <w:b/>
          <w:color w:val="000000" w:themeColor="text1"/>
          <w:sz w:val="28"/>
          <w:szCs w:val="28"/>
        </w:rPr>
        <w:t xml:space="preserve"> </w:t>
      </w:r>
      <w:r w:rsidRPr="00AD00EF">
        <w:rPr>
          <w:rFonts w:ascii="Garamond" w:hAnsi="Garamond"/>
          <w:b/>
          <w:color w:val="000000" w:themeColor="text1"/>
          <w:sz w:val="28"/>
          <w:szCs w:val="28"/>
        </w:rPr>
        <w:t>or by appointment</w:t>
      </w:r>
    </w:p>
    <w:p w14:paraId="33CCF7F4" w14:textId="58221976" w:rsidR="00BC6F52" w:rsidRDefault="00BC6F52" w:rsidP="00BC6F52">
      <w:pPr>
        <w:spacing w:line="240" w:lineRule="auto"/>
        <w:contextualSpacing/>
        <w:jc w:val="center"/>
        <w:rPr>
          <w:rFonts w:ascii="Garamond" w:hAnsi="Garamond"/>
          <w:b/>
          <w:sz w:val="28"/>
          <w:szCs w:val="28"/>
        </w:rPr>
      </w:pPr>
    </w:p>
    <w:p w14:paraId="59510C87" w14:textId="77777777" w:rsidR="00BC6F52" w:rsidRPr="005B259D" w:rsidRDefault="00BC6F52" w:rsidP="00BC6F52">
      <w:pPr>
        <w:contextualSpacing/>
        <w:rPr>
          <w:rFonts w:ascii="Garamond" w:hAnsi="Garamond"/>
          <w:b/>
          <w:sz w:val="24"/>
          <w:szCs w:val="24"/>
        </w:rPr>
      </w:pPr>
    </w:p>
    <w:p w14:paraId="155A7C6D" w14:textId="77777777" w:rsidR="00BC6F52" w:rsidRPr="005B259D" w:rsidRDefault="00BC6F52" w:rsidP="00BC6F52">
      <w:pPr>
        <w:spacing w:line="240" w:lineRule="auto"/>
        <w:contextualSpacing/>
        <w:rPr>
          <w:rFonts w:ascii="Garamond" w:hAnsi="Garamond"/>
          <w:b/>
          <w:sz w:val="24"/>
          <w:szCs w:val="24"/>
        </w:rPr>
      </w:pPr>
      <w:r w:rsidRPr="005B259D">
        <w:rPr>
          <w:rFonts w:ascii="Garamond" w:hAnsi="Garamond"/>
          <w:b/>
          <w:sz w:val="24"/>
          <w:szCs w:val="24"/>
        </w:rPr>
        <w:t>Professor Joseph Torigian</w:t>
      </w:r>
    </w:p>
    <w:p w14:paraId="4B640BDB" w14:textId="77777777" w:rsidR="00BC6F52" w:rsidRPr="005B259D" w:rsidRDefault="00BC6F52" w:rsidP="00BC6F52">
      <w:pPr>
        <w:spacing w:line="240" w:lineRule="auto"/>
        <w:contextualSpacing/>
        <w:rPr>
          <w:rFonts w:ascii="Garamond" w:hAnsi="Garamond"/>
          <w:sz w:val="24"/>
          <w:szCs w:val="24"/>
        </w:rPr>
      </w:pPr>
      <w:r w:rsidRPr="005B259D">
        <w:rPr>
          <w:rFonts w:ascii="Garamond" w:hAnsi="Garamond"/>
          <w:sz w:val="24"/>
          <w:szCs w:val="24"/>
        </w:rPr>
        <w:t>torigian@american.edu</w:t>
      </w:r>
    </w:p>
    <w:p w14:paraId="5827BB7B" w14:textId="77777777" w:rsidR="00BC6F52" w:rsidRPr="005B259D" w:rsidRDefault="00BC6F52" w:rsidP="00BC6F52">
      <w:pPr>
        <w:spacing w:line="240" w:lineRule="auto"/>
        <w:contextualSpacing/>
        <w:rPr>
          <w:rFonts w:ascii="Garamond" w:hAnsi="Garamond" w:cs="Times New Roman"/>
          <w:sz w:val="24"/>
          <w:szCs w:val="24"/>
        </w:rPr>
      </w:pPr>
    </w:p>
    <w:p w14:paraId="07503F3E" w14:textId="77777777" w:rsidR="00BC6F52" w:rsidRPr="005B259D" w:rsidRDefault="00BC6F52" w:rsidP="00BC6F52">
      <w:pPr>
        <w:spacing w:line="240" w:lineRule="auto"/>
        <w:contextualSpacing/>
        <w:rPr>
          <w:rFonts w:ascii="Garamond" w:hAnsi="Garamond" w:cs="Times New Roman"/>
          <w:b/>
          <w:sz w:val="24"/>
          <w:szCs w:val="24"/>
          <w:u w:val="single"/>
        </w:rPr>
      </w:pPr>
      <w:r w:rsidRPr="005B259D">
        <w:rPr>
          <w:rFonts w:ascii="Garamond" w:hAnsi="Garamond" w:cs="Times New Roman"/>
          <w:b/>
          <w:sz w:val="24"/>
          <w:szCs w:val="24"/>
          <w:u w:val="single"/>
        </w:rPr>
        <w:t>Course Overview</w:t>
      </w:r>
    </w:p>
    <w:p w14:paraId="2C96F408" w14:textId="77777777" w:rsidR="00BC6F52" w:rsidRPr="005B259D" w:rsidRDefault="00BC6F52" w:rsidP="00BC6F52">
      <w:pPr>
        <w:spacing w:line="240" w:lineRule="auto"/>
        <w:contextualSpacing/>
        <w:jc w:val="both"/>
        <w:rPr>
          <w:rFonts w:ascii="Garamond" w:hAnsi="Garamond" w:cs="Times New Roman"/>
          <w:sz w:val="24"/>
          <w:szCs w:val="24"/>
        </w:rPr>
      </w:pPr>
    </w:p>
    <w:p w14:paraId="00091AC2" w14:textId="3CA36BFF" w:rsidR="00687D03" w:rsidRDefault="006501C0" w:rsidP="00B32183">
      <w:pPr>
        <w:spacing w:line="240" w:lineRule="auto"/>
        <w:contextualSpacing/>
        <w:rPr>
          <w:rFonts w:ascii="Garamond" w:hAnsi="Garamond" w:cs="Times New Roman"/>
          <w:sz w:val="24"/>
          <w:szCs w:val="24"/>
        </w:rPr>
      </w:pPr>
      <w:r>
        <w:rPr>
          <w:rFonts w:ascii="Garamond" w:hAnsi="Garamond" w:cs="Times New Roman"/>
          <w:sz w:val="24"/>
          <w:szCs w:val="24"/>
        </w:rPr>
        <w:t>The purpose of this course is twofold: to train you to think about qualitative methods conceptually and how to do the nitty gritty of collecting</w:t>
      </w:r>
      <w:r w:rsidR="003660F3">
        <w:rPr>
          <w:rFonts w:ascii="Garamond" w:hAnsi="Garamond" w:cs="Times New Roman"/>
          <w:sz w:val="24"/>
          <w:szCs w:val="24"/>
        </w:rPr>
        <w:t>,</w:t>
      </w:r>
      <w:r>
        <w:rPr>
          <w:rFonts w:ascii="Garamond" w:hAnsi="Garamond" w:cs="Times New Roman"/>
          <w:sz w:val="24"/>
          <w:szCs w:val="24"/>
        </w:rPr>
        <w:t xml:space="preserve"> interpreting</w:t>
      </w:r>
      <w:r w:rsidR="003660F3">
        <w:rPr>
          <w:rFonts w:ascii="Garamond" w:hAnsi="Garamond" w:cs="Times New Roman"/>
          <w:sz w:val="24"/>
          <w:szCs w:val="24"/>
        </w:rPr>
        <w:t>, and presenting</w:t>
      </w:r>
      <w:r>
        <w:rPr>
          <w:rFonts w:ascii="Garamond" w:hAnsi="Garamond" w:cs="Times New Roman"/>
          <w:sz w:val="24"/>
          <w:szCs w:val="24"/>
        </w:rPr>
        <w:t xml:space="preserve"> evidence. Each class, we will begin by investigating a fundamental question about the nature of qualitative methods. After a short break, we will conclude the class with a module on a specific practical challenge to research.</w:t>
      </w:r>
    </w:p>
    <w:p w14:paraId="771AD3D1" w14:textId="5B3CE39F" w:rsidR="006501C0" w:rsidRDefault="006501C0" w:rsidP="00B32183">
      <w:pPr>
        <w:spacing w:line="240" w:lineRule="auto"/>
        <w:contextualSpacing/>
        <w:rPr>
          <w:rFonts w:ascii="Garamond" w:hAnsi="Garamond" w:cs="Times New Roman"/>
          <w:sz w:val="24"/>
          <w:szCs w:val="24"/>
        </w:rPr>
      </w:pPr>
    </w:p>
    <w:p w14:paraId="49F53DC7" w14:textId="1F0FB28C" w:rsidR="006501C0" w:rsidRDefault="006501C0" w:rsidP="00B32183">
      <w:pPr>
        <w:spacing w:line="240" w:lineRule="auto"/>
        <w:contextualSpacing/>
        <w:rPr>
          <w:rFonts w:ascii="Garamond" w:hAnsi="Garamond" w:cs="Times New Roman"/>
          <w:sz w:val="24"/>
          <w:szCs w:val="24"/>
        </w:rPr>
      </w:pPr>
      <w:r>
        <w:rPr>
          <w:rFonts w:ascii="Garamond" w:hAnsi="Garamond" w:cs="Times New Roman"/>
          <w:sz w:val="24"/>
          <w:szCs w:val="24"/>
        </w:rPr>
        <w:t xml:space="preserve">To </w:t>
      </w:r>
      <w:r w:rsidR="00050656">
        <w:rPr>
          <w:rFonts w:ascii="Garamond" w:hAnsi="Garamond" w:cs="Times New Roman"/>
          <w:sz w:val="24"/>
          <w:szCs w:val="24"/>
        </w:rPr>
        <w:t xml:space="preserve">ensure that you understand the basic principles of qualitative methods, this class will cover </w:t>
      </w:r>
      <w:r w:rsidR="00584595">
        <w:rPr>
          <w:rFonts w:ascii="Garamond" w:hAnsi="Garamond" w:cs="Times New Roman"/>
          <w:sz w:val="24"/>
          <w:szCs w:val="24"/>
        </w:rPr>
        <w:t xml:space="preserve">the ethics of research, </w:t>
      </w:r>
      <w:r w:rsidR="00050656">
        <w:rPr>
          <w:rFonts w:ascii="Garamond" w:hAnsi="Garamond" w:cs="Times New Roman"/>
          <w:sz w:val="24"/>
          <w:szCs w:val="24"/>
        </w:rPr>
        <w:t xml:space="preserve">ontology, causation, the differences between quantitative and qualitative methods, multi-method research, ethnography, </w:t>
      </w:r>
      <w:r w:rsidR="00327DDC">
        <w:rPr>
          <w:rFonts w:ascii="Garamond" w:hAnsi="Garamond" w:cs="Times New Roman"/>
          <w:sz w:val="24"/>
          <w:szCs w:val="24"/>
        </w:rPr>
        <w:t>discourse</w:t>
      </w:r>
      <w:r w:rsidR="00050656">
        <w:rPr>
          <w:rFonts w:ascii="Garamond" w:hAnsi="Garamond" w:cs="Times New Roman"/>
          <w:sz w:val="24"/>
          <w:szCs w:val="24"/>
        </w:rPr>
        <w:t xml:space="preserve"> analysis, the </w:t>
      </w:r>
      <w:r w:rsidR="00D66F9C">
        <w:rPr>
          <w:rFonts w:ascii="Garamond" w:hAnsi="Garamond" w:cs="Times New Roman"/>
          <w:sz w:val="24"/>
          <w:szCs w:val="24"/>
        </w:rPr>
        <w:t>historicist</w:t>
      </w:r>
      <w:r w:rsidR="00050656">
        <w:rPr>
          <w:rFonts w:ascii="Garamond" w:hAnsi="Garamond" w:cs="Times New Roman"/>
          <w:sz w:val="24"/>
          <w:szCs w:val="24"/>
        </w:rPr>
        <w:t xml:space="preserve"> sensibility, the relationship </w:t>
      </w:r>
      <w:r w:rsidR="00050656">
        <w:rPr>
          <w:rFonts w:ascii="Garamond" w:hAnsi="Garamond" w:cs="Times New Roman"/>
          <w:sz w:val="24"/>
          <w:szCs w:val="24"/>
        </w:rPr>
        <w:lastRenderedPageBreak/>
        <w:t xml:space="preserve">between evidence and theory, how to manage complex systems and contingency, mid-range theories and analytic eclecticism, concept formation, case selection, the comparative method, </w:t>
      </w:r>
      <w:r w:rsidR="00B02C83">
        <w:rPr>
          <w:rFonts w:ascii="Garamond" w:hAnsi="Garamond" w:cs="Times New Roman"/>
          <w:sz w:val="24"/>
          <w:szCs w:val="24"/>
        </w:rPr>
        <w:t xml:space="preserve">and </w:t>
      </w:r>
      <w:r w:rsidR="00050656">
        <w:rPr>
          <w:rFonts w:ascii="Garamond" w:hAnsi="Garamond" w:cs="Times New Roman"/>
          <w:sz w:val="24"/>
          <w:szCs w:val="24"/>
        </w:rPr>
        <w:t xml:space="preserve">within-case analysis. </w:t>
      </w:r>
      <w:r w:rsidR="008A1E93">
        <w:rPr>
          <w:rFonts w:ascii="Garamond" w:hAnsi="Garamond" w:cs="Times New Roman"/>
          <w:sz w:val="24"/>
          <w:szCs w:val="24"/>
        </w:rPr>
        <w:t xml:space="preserve">I will mix discussion, questions, and lecture. </w:t>
      </w:r>
    </w:p>
    <w:p w14:paraId="063611C9" w14:textId="63550437" w:rsidR="003660F3" w:rsidRDefault="003660F3" w:rsidP="00B32183">
      <w:pPr>
        <w:spacing w:line="240" w:lineRule="auto"/>
        <w:contextualSpacing/>
        <w:rPr>
          <w:rFonts w:ascii="Garamond" w:hAnsi="Garamond" w:cs="Times New Roman"/>
          <w:sz w:val="24"/>
          <w:szCs w:val="24"/>
        </w:rPr>
      </w:pPr>
    </w:p>
    <w:p w14:paraId="3735DC63" w14:textId="1C9BEBF7" w:rsidR="00BC7995" w:rsidRPr="008A1E93" w:rsidRDefault="003660F3" w:rsidP="00BC7995">
      <w:pPr>
        <w:spacing w:line="240" w:lineRule="auto"/>
        <w:contextualSpacing/>
        <w:rPr>
          <w:rFonts w:ascii="Garamond" w:hAnsi="Garamond" w:cs="Times New Roman"/>
          <w:iCs/>
          <w:sz w:val="24"/>
          <w:szCs w:val="24"/>
        </w:rPr>
      </w:pPr>
      <w:r>
        <w:rPr>
          <w:rFonts w:ascii="Garamond" w:hAnsi="Garamond" w:cs="Times New Roman"/>
          <w:sz w:val="24"/>
          <w:szCs w:val="24"/>
        </w:rPr>
        <w:t>The practical modules answer the following questions:</w:t>
      </w:r>
      <w:r w:rsidR="001940FB">
        <w:rPr>
          <w:rFonts w:ascii="Garamond" w:hAnsi="Garamond" w:cs="Times New Roman"/>
          <w:sz w:val="24"/>
          <w:szCs w:val="24"/>
        </w:rPr>
        <w:t xml:space="preserve"> How do we do an IRB?</w:t>
      </w:r>
      <w:r>
        <w:rPr>
          <w:rFonts w:ascii="Garamond" w:hAnsi="Garamond" w:cs="Times New Roman"/>
          <w:sz w:val="24"/>
          <w:szCs w:val="24"/>
        </w:rPr>
        <w:t xml:space="preserve"> how </w:t>
      </w:r>
      <w:r w:rsidR="00C67BA1">
        <w:rPr>
          <w:rFonts w:ascii="Garamond" w:hAnsi="Garamond" w:cs="Times New Roman"/>
          <w:sz w:val="24"/>
          <w:szCs w:val="24"/>
        </w:rPr>
        <w:t>should we</w:t>
      </w:r>
      <w:r>
        <w:rPr>
          <w:rFonts w:ascii="Garamond" w:hAnsi="Garamond" w:cs="Times New Roman"/>
          <w:sz w:val="24"/>
          <w:szCs w:val="24"/>
        </w:rPr>
        <w:t xml:space="preserve"> conduct literature review</w:t>
      </w:r>
      <w:r w:rsidR="00C67BA1">
        <w:rPr>
          <w:rFonts w:ascii="Garamond" w:hAnsi="Garamond" w:cs="Times New Roman"/>
          <w:sz w:val="24"/>
          <w:szCs w:val="24"/>
        </w:rPr>
        <w:t>s</w:t>
      </w:r>
      <w:r>
        <w:rPr>
          <w:rFonts w:ascii="Garamond" w:hAnsi="Garamond" w:cs="Times New Roman"/>
          <w:sz w:val="24"/>
          <w:szCs w:val="24"/>
        </w:rPr>
        <w:t xml:space="preserve">? How </w:t>
      </w:r>
      <w:r w:rsidR="00C67BA1">
        <w:rPr>
          <w:rFonts w:ascii="Garamond" w:hAnsi="Garamond" w:cs="Times New Roman"/>
          <w:sz w:val="24"/>
          <w:szCs w:val="24"/>
        </w:rPr>
        <w:t>should we write grant proposals</w:t>
      </w:r>
      <w:r>
        <w:rPr>
          <w:rFonts w:ascii="Garamond" w:hAnsi="Garamond" w:cs="Times New Roman"/>
          <w:sz w:val="24"/>
          <w:szCs w:val="24"/>
        </w:rPr>
        <w:t xml:space="preserve">? </w:t>
      </w:r>
      <w:r w:rsidR="000F3004">
        <w:rPr>
          <w:rFonts w:ascii="Garamond" w:hAnsi="Garamond" w:cs="Times New Roman"/>
          <w:sz w:val="24"/>
          <w:szCs w:val="24"/>
        </w:rPr>
        <w:t xml:space="preserve">How </w:t>
      </w:r>
      <w:r w:rsidR="00C67BA1">
        <w:rPr>
          <w:rFonts w:ascii="Garamond" w:hAnsi="Garamond" w:cs="Times New Roman"/>
          <w:sz w:val="24"/>
          <w:szCs w:val="24"/>
        </w:rPr>
        <w:t>should we us</w:t>
      </w:r>
      <w:r w:rsidR="000F3004">
        <w:rPr>
          <w:rFonts w:ascii="Garamond" w:hAnsi="Garamond" w:cs="Times New Roman"/>
          <w:sz w:val="24"/>
          <w:szCs w:val="24"/>
        </w:rPr>
        <w:t xml:space="preserve">e public information (like newspapers and FBIS) to do research on very current events? How </w:t>
      </w:r>
      <w:r w:rsidR="00C67BA1">
        <w:rPr>
          <w:rFonts w:ascii="Garamond" w:hAnsi="Garamond" w:cs="Times New Roman"/>
          <w:sz w:val="24"/>
          <w:szCs w:val="24"/>
        </w:rPr>
        <w:t>should we</w:t>
      </w:r>
      <w:r w:rsidR="000F3004">
        <w:rPr>
          <w:rFonts w:ascii="Garamond" w:hAnsi="Garamond" w:cs="Times New Roman"/>
          <w:sz w:val="24"/>
          <w:szCs w:val="24"/>
        </w:rPr>
        <w:t xml:space="preserve"> prepare and conduct interviews? </w:t>
      </w:r>
      <w:r w:rsidR="00C67BA1" w:rsidRPr="00C67BA1">
        <w:rPr>
          <w:rFonts w:ascii="Garamond" w:hAnsi="Garamond" w:cs="Times New Roman"/>
          <w:bCs/>
          <w:iCs/>
          <w:sz w:val="24"/>
          <w:szCs w:val="24"/>
        </w:rPr>
        <w:t xml:space="preserve">How </w:t>
      </w:r>
      <w:r w:rsidR="00C67BA1">
        <w:rPr>
          <w:rFonts w:ascii="Garamond" w:hAnsi="Garamond" w:cs="Times New Roman"/>
          <w:bCs/>
          <w:iCs/>
          <w:sz w:val="24"/>
          <w:szCs w:val="24"/>
        </w:rPr>
        <w:t>should we prepare</w:t>
      </w:r>
      <w:r w:rsidR="00C67BA1" w:rsidRPr="00C67BA1">
        <w:rPr>
          <w:rFonts w:ascii="Garamond" w:hAnsi="Garamond" w:cs="Times New Roman"/>
          <w:bCs/>
          <w:iCs/>
          <w:sz w:val="24"/>
          <w:szCs w:val="24"/>
        </w:rPr>
        <w:t xml:space="preserve"> to go into the field, and what do </w:t>
      </w:r>
      <w:r w:rsidR="00C67BA1">
        <w:rPr>
          <w:rFonts w:ascii="Garamond" w:hAnsi="Garamond" w:cs="Times New Roman"/>
          <w:bCs/>
          <w:iCs/>
          <w:sz w:val="24"/>
          <w:szCs w:val="24"/>
        </w:rPr>
        <w:t>we</w:t>
      </w:r>
      <w:r w:rsidR="00C67BA1" w:rsidRPr="00C67BA1">
        <w:rPr>
          <w:rFonts w:ascii="Garamond" w:hAnsi="Garamond" w:cs="Times New Roman"/>
          <w:bCs/>
          <w:iCs/>
          <w:sz w:val="24"/>
          <w:szCs w:val="24"/>
        </w:rPr>
        <w:t xml:space="preserve"> do when </w:t>
      </w:r>
      <w:r w:rsidR="00C67BA1">
        <w:rPr>
          <w:rFonts w:ascii="Garamond" w:hAnsi="Garamond" w:cs="Times New Roman"/>
          <w:bCs/>
          <w:iCs/>
          <w:sz w:val="24"/>
          <w:szCs w:val="24"/>
        </w:rPr>
        <w:t>we</w:t>
      </w:r>
      <w:r w:rsidR="00C67BA1" w:rsidRPr="00C67BA1">
        <w:rPr>
          <w:rFonts w:ascii="Garamond" w:hAnsi="Garamond" w:cs="Times New Roman"/>
          <w:bCs/>
          <w:iCs/>
          <w:sz w:val="24"/>
          <w:szCs w:val="24"/>
        </w:rPr>
        <w:t xml:space="preserve"> get there? </w:t>
      </w:r>
      <w:r w:rsidR="00C67BA1">
        <w:rPr>
          <w:rFonts w:ascii="Garamond" w:hAnsi="Garamond" w:cs="Times New Roman"/>
          <w:bCs/>
          <w:iCs/>
          <w:sz w:val="24"/>
          <w:szCs w:val="24"/>
        </w:rPr>
        <w:t xml:space="preserve">How do we effectively use archives? How do we do Freedom of Information Requests? How do we write a dissertation prospectus? </w:t>
      </w:r>
      <w:r w:rsidR="008A1E93">
        <w:rPr>
          <w:rFonts w:ascii="Garamond" w:hAnsi="Garamond" w:cs="Times New Roman"/>
          <w:bCs/>
          <w:iCs/>
          <w:sz w:val="24"/>
          <w:szCs w:val="24"/>
        </w:rPr>
        <w:t xml:space="preserve">How do we find and analyze memoirs and oral histories? How do we use digital databases? How should we organize our research? For many of these modules, I will do a short presentation or invite a guest speaker. </w:t>
      </w:r>
    </w:p>
    <w:p w14:paraId="5B7812E5" w14:textId="77777777" w:rsidR="008A1E93" w:rsidRPr="008168DA" w:rsidRDefault="008A1E93" w:rsidP="00BC7995">
      <w:pPr>
        <w:spacing w:line="240" w:lineRule="auto"/>
        <w:contextualSpacing/>
        <w:rPr>
          <w:rFonts w:ascii="Garamond" w:hAnsi="Garamond" w:cs="Times New Roman"/>
          <w:sz w:val="24"/>
          <w:szCs w:val="24"/>
        </w:rPr>
      </w:pPr>
    </w:p>
    <w:p w14:paraId="636A81CD" w14:textId="77777777" w:rsidR="00BC6F52" w:rsidRDefault="00BC6F52" w:rsidP="00BC6F52">
      <w:pPr>
        <w:spacing w:line="240" w:lineRule="auto"/>
        <w:contextualSpacing/>
        <w:rPr>
          <w:rFonts w:ascii="Garamond" w:hAnsi="Garamond" w:cs="Times New Roman"/>
          <w:b/>
          <w:sz w:val="28"/>
          <w:szCs w:val="28"/>
          <w:u w:val="single"/>
        </w:rPr>
      </w:pPr>
      <w:r w:rsidRPr="002843E3">
        <w:rPr>
          <w:rFonts w:ascii="Garamond" w:hAnsi="Garamond" w:cs="Times New Roman"/>
          <w:b/>
          <w:sz w:val="28"/>
          <w:szCs w:val="28"/>
          <w:u w:val="single"/>
        </w:rPr>
        <w:t>Requirements</w:t>
      </w:r>
    </w:p>
    <w:p w14:paraId="080281AC" w14:textId="77777777" w:rsidR="00BC6F52" w:rsidRDefault="00BC6F52" w:rsidP="00BC6F52">
      <w:pPr>
        <w:spacing w:line="240" w:lineRule="auto"/>
        <w:contextualSpacing/>
        <w:rPr>
          <w:rFonts w:ascii="Garamond" w:hAnsi="Garamond" w:cs="Times New Roman"/>
          <w:sz w:val="28"/>
          <w:szCs w:val="28"/>
        </w:rPr>
      </w:pPr>
    </w:p>
    <w:p w14:paraId="6335620C" w14:textId="156782D3" w:rsidR="00BC6F52" w:rsidRPr="00E25AD1" w:rsidRDefault="009236F8" w:rsidP="00BC6F52">
      <w:pPr>
        <w:spacing w:line="240" w:lineRule="auto"/>
        <w:contextualSpacing/>
        <w:rPr>
          <w:rFonts w:ascii="Garamond" w:hAnsi="Garamond" w:cs="Times New Roman"/>
          <w:color w:val="000000" w:themeColor="text1"/>
          <w:sz w:val="24"/>
          <w:szCs w:val="24"/>
        </w:rPr>
      </w:pPr>
      <w:r>
        <w:rPr>
          <w:rFonts w:ascii="Garamond" w:hAnsi="Garamond" w:cs="Times New Roman"/>
          <w:i/>
          <w:color w:val="000000" w:themeColor="text1"/>
          <w:sz w:val="24"/>
          <w:szCs w:val="24"/>
        </w:rPr>
        <w:t>Participation</w:t>
      </w:r>
      <w:r w:rsidR="00BC6F52" w:rsidRPr="00E25AD1">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25</w:t>
      </w:r>
      <w:r w:rsidR="00BC6F52" w:rsidRPr="00E25AD1">
        <w:rPr>
          <w:rFonts w:ascii="Garamond" w:hAnsi="Garamond" w:cs="Times New Roman"/>
          <w:color w:val="000000" w:themeColor="text1"/>
          <w:sz w:val="24"/>
          <w:szCs w:val="24"/>
        </w:rPr>
        <w:t>%</w:t>
      </w:r>
    </w:p>
    <w:p w14:paraId="4284583F" w14:textId="776AF3E2" w:rsidR="009236F8" w:rsidRDefault="009236F8" w:rsidP="009236F8">
      <w:pPr>
        <w:spacing w:line="240" w:lineRule="auto"/>
        <w:contextualSpacing/>
        <w:rPr>
          <w:rFonts w:ascii="Garamond" w:hAnsi="Garamond" w:cs="Times New Roman"/>
          <w:color w:val="000000" w:themeColor="text1"/>
          <w:sz w:val="24"/>
          <w:szCs w:val="24"/>
        </w:rPr>
      </w:pPr>
      <w:r>
        <w:rPr>
          <w:rFonts w:ascii="Garamond" w:hAnsi="Garamond" w:cs="Times New Roman"/>
          <w:i/>
          <w:iCs/>
          <w:color w:val="000000" w:themeColor="text1"/>
          <w:sz w:val="24"/>
          <w:szCs w:val="24"/>
        </w:rPr>
        <w:t xml:space="preserve">Two research notes: </w:t>
      </w:r>
      <w:r>
        <w:rPr>
          <w:rFonts w:ascii="Garamond" w:hAnsi="Garamond" w:cs="Times New Roman"/>
          <w:color w:val="000000" w:themeColor="text1"/>
          <w:sz w:val="24"/>
          <w:szCs w:val="24"/>
        </w:rPr>
        <w:t>20% (Each research note is 10%)</w:t>
      </w:r>
    </w:p>
    <w:p w14:paraId="01D35D55" w14:textId="6B193418" w:rsidR="009236F8" w:rsidRDefault="009236F8" w:rsidP="009236F8">
      <w:pPr>
        <w:spacing w:line="240" w:lineRule="auto"/>
        <w:contextualSpacing/>
        <w:rPr>
          <w:rFonts w:ascii="Garamond" w:hAnsi="Garamond" w:cs="Times New Roman"/>
          <w:color w:val="000000" w:themeColor="text1"/>
          <w:sz w:val="24"/>
          <w:szCs w:val="24"/>
        </w:rPr>
      </w:pPr>
      <w:r w:rsidRPr="009236F8">
        <w:rPr>
          <w:rFonts w:ascii="Garamond" w:hAnsi="Garamond" w:cs="Times New Roman"/>
          <w:i/>
          <w:iCs/>
          <w:color w:val="000000" w:themeColor="text1"/>
          <w:sz w:val="24"/>
          <w:szCs w:val="24"/>
        </w:rPr>
        <w:t>Grant application</w:t>
      </w:r>
      <w:r>
        <w:rPr>
          <w:rFonts w:ascii="Garamond" w:hAnsi="Garamond" w:cs="Times New Roman"/>
          <w:i/>
          <w:iCs/>
          <w:color w:val="000000" w:themeColor="text1"/>
          <w:sz w:val="24"/>
          <w:szCs w:val="24"/>
        </w:rPr>
        <w:t xml:space="preserve">: </w:t>
      </w:r>
      <w:r w:rsidRPr="009236F8">
        <w:rPr>
          <w:rFonts w:ascii="Garamond" w:hAnsi="Garamond" w:cs="Times New Roman"/>
          <w:color w:val="000000" w:themeColor="text1"/>
          <w:sz w:val="24"/>
          <w:szCs w:val="24"/>
        </w:rPr>
        <w:t>20%</w:t>
      </w:r>
      <w:r w:rsidR="003426B9">
        <w:rPr>
          <w:rFonts w:ascii="Garamond" w:hAnsi="Garamond" w:cs="Times New Roman"/>
          <w:color w:val="000000" w:themeColor="text1"/>
          <w:sz w:val="24"/>
          <w:szCs w:val="24"/>
        </w:rPr>
        <w:t xml:space="preserve"> (due March 2)</w:t>
      </w:r>
    </w:p>
    <w:p w14:paraId="66029348" w14:textId="267C4356" w:rsidR="009236F8" w:rsidRPr="009236F8" w:rsidRDefault="009236F8" w:rsidP="009236F8">
      <w:pPr>
        <w:spacing w:line="240" w:lineRule="auto"/>
        <w:contextualSpacing/>
        <w:rPr>
          <w:rFonts w:ascii="Garamond" w:hAnsi="Garamond" w:cs="Times New Roman"/>
          <w:color w:val="000000" w:themeColor="text1"/>
          <w:sz w:val="24"/>
          <w:szCs w:val="24"/>
        </w:rPr>
      </w:pPr>
      <w:r w:rsidRPr="009236F8">
        <w:rPr>
          <w:rFonts w:ascii="Garamond" w:hAnsi="Garamond" w:cs="Times New Roman"/>
          <w:i/>
          <w:iCs/>
          <w:color w:val="000000" w:themeColor="text1"/>
          <w:sz w:val="24"/>
          <w:szCs w:val="24"/>
        </w:rPr>
        <w:t xml:space="preserve">Dissertation prospectus: </w:t>
      </w:r>
      <w:r w:rsidR="00762CCD">
        <w:rPr>
          <w:rFonts w:ascii="Garamond" w:hAnsi="Garamond" w:cs="Times New Roman"/>
          <w:color w:val="000000" w:themeColor="text1"/>
          <w:sz w:val="24"/>
          <w:szCs w:val="24"/>
        </w:rPr>
        <w:t xml:space="preserve">30% </w:t>
      </w:r>
      <w:r w:rsidR="003426B9">
        <w:rPr>
          <w:rFonts w:ascii="Garamond" w:hAnsi="Garamond" w:cs="Times New Roman"/>
          <w:color w:val="000000" w:themeColor="text1"/>
          <w:sz w:val="24"/>
          <w:szCs w:val="24"/>
        </w:rPr>
        <w:t>(due May 6)</w:t>
      </w:r>
    </w:p>
    <w:p w14:paraId="0F46CAEE" w14:textId="512431B8" w:rsidR="00193691" w:rsidRDefault="00193691" w:rsidP="00193691">
      <w:pPr>
        <w:spacing w:line="240" w:lineRule="auto"/>
        <w:contextualSpacing/>
        <w:rPr>
          <w:rFonts w:ascii="Garamond" w:hAnsi="Garamond" w:cs="Times New Roman"/>
          <w:color w:val="000000" w:themeColor="text1"/>
          <w:sz w:val="24"/>
          <w:szCs w:val="24"/>
        </w:rPr>
      </w:pPr>
      <w:r>
        <w:rPr>
          <w:rFonts w:ascii="Garamond" w:hAnsi="Garamond" w:cs="Times New Roman"/>
          <w:i/>
          <w:color w:val="000000" w:themeColor="text1"/>
          <w:sz w:val="24"/>
          <w:szCs w:val="24"/>
        </w:rPr>
        <w:t>Wikimedia pizza party:</w:t>
      </w:r>
      <w:r w:rsidRPr="00E25AD1">
        <w:rPr>
          <w:rFonts w:ascii="Garamond" w:hAnsi="Garamond" w:cs="Times New Roman"/>
          <w:i/>
          <w:color w:val="000000" w:themeColor="text1"/>
          <w:sz w:val="24"/>
          <w:szCs w:val="24"/>
        </w:rPr>
        <w:t xml:space="preserve"> </w:t>
      </w:r>
      <w:r>
        <w:rPr>
          <w:rFonts w:ascii="Garamond" w:hAnsi="Garamond" w:cs="Times New Roman"/>
          <w:color w:val="000000" w:themeColor="text1"/>
          <w:sz w:val="24"/>
          <w:szCs w:val="24"/>
        </w:rPr>
        <w:t xml:space="preserve">5% </w:t>
      </w:r>
    </w:p>
    <w:p w14:paraId="5420A85D" w14:textId="77777777" w:rsidR="009236F8" w:rsidRPr="005C5417" w:rsidRDefault="009236F8" w:rsidP="00BC6F52">
      <w:pPr>
        <w:spacing w:line="240" w:lineRule="auto"/>
        <w:contextualSpacing/>
        <w:rPr>
          <w:rFonts w:ascii="Garamond" w:hAnsi="Garamond" w:cs="Times New Roman"/>
          <w:sz w:val="24"/>
          <w:szCs w:val="24"/>
        </w:rPr>
      </w:pPr>
    </w:p>
    <w:p w14:paraId="39363235" w14:textId="23401008" w:rsidR="00BC6F52" w:rsidRPr="00AC5D55" w:rsidRDefault="009236F8" w:rsidP="00BC6F52">
      <w:pPr>
        <w:spacing w:line="240" w:lineRule="auto"/>
        <w:contextualSpacing/>
        <w:rPr>
          <w:rFonts w:ascii="Garamond" w:hAnsi="Garamond" w:cs="Times New Roman"/>
          <w:i/>
          <w:sz w:val="28"/>
          <w:szCs w:val="28"/>
        </w:rPr>
      </w:pPr>
      <w:r>
        <w:rPr>
          <w:rFonts w:ascii="Garamond" w:hAnsi="Garamond" w:cs="Times New Roman"/>
          <w:i/>
          <w:sz w:val="24"/>
          <w:szCs w:val="28"/>
        </w:rPr>
        <w:t>Participation</w:t>
      </w:r>
      <w:r w:rsidR="00BC6F52">
        <w:rPr>
          <w:rFonts w:ascii="Garamond" w:hAnsi="Garamond" w:cs="Times New Roman"/>
          <w:i/>
          <w:sz w:val="28"/>
          <w:szCs w:val="28"/>
        </w:rPr>
        <w:t xml:space="preserve">: </w:t>
      </w:r>
    </w:p>
    <w:p w14:paraId="6F30DF36" w14:textId="77777777" w:rsidR="00BC6F52" w:rsidRDefault="00BC6F52" w:rsidP="00BC6F52">
      <w:pPr>
        <w:spacing w:line="240" w:lineRule="auto"/>
        <w:contextualSpacing/>
        <w:rPr>
          <w:rFonts w:ascii="Garamond" w:hAnsi="Garamond" w:cs="Times New Roman"/>
          <w:b/>
          <w:sz w:val="28"/>
          <w:szCs w:val="28"/>
          <w:u w:val="single"/>
        </w:rPr>
      </w:pPr>
    </w:p>
    <w:p w14:paraId="40F01127" w14:textId="41088BA9" w:rsidR="00BC6F52" w:rsidRDefault="00BC6F52" w:rsidP="00BC6F52">
      <w:pPr>
        <w:spacing w:line="240" w:lineRule="auto"/>
        <w:contextualSpacing/>
        <w:rPr>
          <w:rFonts w:ascii="Garamond" w:hAnsi="Garamond" w:cs="Times New Roman"/>
          <w:sz w:val="24"/>
          <w:szCs w:val="28"/>
        </w:rPr>
      </w:pPr>
      <w:r>
        <w:rPr>
          <w:rFonts w:ascii="Garamond" w:hAnsi="Garamond" w:cs="Times New Roman"/>
          <w:sz w:val="24"/>
          <w:szCs w:val="28"/>
        </w:rPr>
        <w:t>Students are expected to be able to discuss the readings</w:t>
      </w:r>
      <w:r w:rsidR="003803CC">
        <w:rPr>
          <w:rFonts w:ascii="Garamond" w:hAnsi="Garamond" w:cs="Times New Roman"/>
          <w:sz w:val="24"/>
          <w:szCs w:val="28"/>
        </w:rPr>
        <w:t xml:space="preserve"> in detail</w:t>
      </w:r>
      <w:r>
        <w:rPr>
          <w:rFonts w:ascii="Garamond" w:hAnsi="Garamond" w:cs="Times New Roman"/>
          <w:sz w:val="24"/>
          <w:szCs w:val="28"/>
        </w:rPr>
        <w:t xml:space="preserve">. </w:t>
      </w:r>
      <w:r w:rsidR="00451976">
        <w:rPr>
          <w:rFonts w:ascii="Garamond" w:hAnsi="Garamond" w:cs="Times New Roman"/>
          <w:sz w:val="24"/>
          <w:szCs w:val="28"/>
        </w:rPr>
        <w:t>Occasionally, I will use an app on my phone to randomly select students to answer questions about the reading</w:t>
      </w:r>
      <w:r w:rsidR="00BE1856">
        <w:rPr>
          <w:rFonts w:ascii="Garamond" w:hAnsi="Garamond" w:cs="Times New Roman"/>
          <w:sz w:val="24"/>
          <w:szCs w:val="28"/>
        </w:rPr>
        <w:t>s</w:t>
      </w:r>
      <w:r w:rsidR="00451976">
        <w:rPr>
          <w:rFonts w:ascii="Garamond" w:hAnsi="Garamond" w:cs="Times New Roman"/>
          <w:sz w:val="24"/>
          <w:szCs w:val="28"/>
        </w:rPr>
        <w:t>. Questions asked in this way will not be “gotcha” questions: if you did the reading</w:t>
      </w:r>
      <w:r w:rsidR="00BE1856">
        <w:rPr>
          <w:rFonts w:ascii="Garamond" w:hAnsi="Garamond" w:cs="Times New Roman"/>
          <w:sz w:val="24"/>
          <w:szCs w:val="28"/>
        </w:rPr>
        <w:t>s</w:t>
      </w:r>
      <w:r w:rsidR="00451976">
        <w:rPr>
          <w:rFonts w:ascii="Garamond" w:hAnsi="Garamond" w:cs="Times New Roman"/>
          <w:sz w:val="24"/>
          <w:szCs w:val="28"/>
        </w:rPr>
        <w:t>, you will be able to answer the question.</w:t>
      </w:r>
    </w:p>
    <w:p w14:paraId="54CEECCB" w14:textId="77777777" w:rsidR="00BC6F52" w:rsidRDefault="00BC6F52" w:rsidP="00BC6F52">
      <w:pPr>
        <w:spacing w:line="240" w:lineRule="auto"/>
        <w:contextualSpacing/>
        <w:rPr>
          <w:rFonts w:ascii="Garamond" w:hAnsi="Garamond" w:cs="Times New Roman"/>
          <w:sz w:val="24"/>
          <w:szCs w:val="28"/>
        </w:rPr>
      </w:pPr>
    </w:p>
    <w:p w14:paraId="215F099B" w14:textId="77777777" w:rsidR="00BC6F52" w:rsidRDefault="00BC6F52" w:rsidP="00BC6F52">
      <w:pPr>
        <w:spacing w:line="240" w:lineRule="auto"/>
        <w:contextualSpacing/>
        <w:rPr>
          <w:rFonts w:ascii="Garamond" w:hAnsi="Garamond" w:cs="Times New Roman"/>
          <w:sz w:val="24"/>
          <w:szCs w:val="28"/>
        </w:rPr>
      </w:pPr>
      <w:r>
        <w:rPr>
          <w:rFonts w:ascii="Garamond" w:hAnsi="Garamond" w:cs="Times New Roman"/>
          <w:sz w:val="24"/>
          <w:szCs w:val="28"/>
        </w:rPr>
        <w:t xml:space="preserve">Every unexcused absence after the first will lead to a lower grade for participation (from A to B or B to C). Please let me know beforehand if you must miss class for personal reasons like illness, family or personal emergency, religious observance, or mandatory event. </w:t>
      </w:r>
    </w:p>
    <w:p w14:paraId="56003B53" w14:textId="77777777" w:rsidR="00BC6F52" w:rsidRDefault="00BC6F52" w:rsidP="00BC6F52">
      <w:pPr>
        <w:spacing w:line="240" w:lineRule="auto"/>
        <w:contextualSpacing/>
        <w:rPr>
          <w:rFonts w:ascii="Garamond" w:hAnsi="Garamond" w:cs="Times New Roman"/>
          <w:sz w:val="24"/>
          <w:szCs w:val="28"/>
        </w:rPr>
      </w:pPr>
    </w:p>
    <w:p w14:paraId="183CE704" w14:textId="2B673961" w:rsidR="00762CCD" w:rsidRDefault="00BC6F52" w:rsidP="00BC6F52">
      <w:pPr>
        <w:spacing w:line="240" w:lineRule="auto"/>
        <w:contextualSpacing/>
        <w:rPr>
          <w:rFonts w:ascii="Garamond" w:hAnsi="Garamond" w:cs="Times New Roman"/>
          <w:sz w:val="24"/>
          <w:szCs w:val="28"/>
        </w:rPr>
      </w:pPr>
      <w:r>
        <w:rPr>
          <w:rFonts w:ascii="Garamond" w:hAnsi="Garamond" w:cs="Times New Roman"/>
          <w:sz w:val="24"/>
          <w:szCs w:val="28"/>
        </w:rPr>
        <w:t xml:space="preserve">No cell phones are allowed in class. Laptops are fine, but only if they are used to take notes. </w:t>
      </w:r>
    </w:p>
    <w:p w14:paraId="21ED2FA6" w14:textId="32FCBA43" w:rsidR="00762CCD" w:rsidRDefault="00762CCD" w:rsidP="00BC6F52">
      <w:pPr>
        <w:spacing w:line="240" w:lineRule="auto"/>
        <w:contextualSpacing/>
        <w:rPr>
          <w:rFonts w:ascii="Garamond" w:hAnsi="Garamond" w:cs="Times New Roman"/>
          <w:sz w:val="24"/>
          <w:szCs w:val="28"/>
        </w:rPr>
      </w:pPr>
    </w:p>
    <w:p w14:paraId="24827A14" w14:textId="57709273" w:rsidR="00762CCD" w:rsidRDefault="00762CCD" w:rsidP="00BC6F52">
      <w:pPr>
        <w:spacing w:line="240" w:lineRule="auto"/>
        <w:contextualSpacing/>
        <w:rPr>
          <w:rFonts w:ascii="Garamond" w:hAnsi="Garamond" w:cs="Times New Roman"/>
          <w:i/>
          <w:iCs/>
          <w:sz w:val="24"/>
          <w:szCs w:val="28"/>
        </w:rPr>
      </w:pPr>
      <w:r>
        <w:rPr>
          <w:rFonts w:ascii="Garamond" w:hAnsi="Garamond" w:cs="Times New Roman"/>
          <w:i/>
          <w:iCs/>
          <w:sz w:val="24"/>
          <w:szCs w:val="28"/>
        </w:rPr>
        <w:t>Research notes:</w:t>
      </w:r>
    </w:p>
    <w:p w14:paraId="14AF399F" w14:textId="29E3B8D2" w:rsidR="00762CCD" w:rsidRDefault="00762CCD" w:rsidP="00BC6F52">
      <w:pPr>
        <w:spacing w:line="240" w:lineRule="auto"/>
        <w:contextualSpacing/>
        <w:rPr>
          <w:rFonts w:ascii="Garamond" w:hAnsi="Garamond" w:cs="Times New Roman"/>
          <w:i/>
          <w:iCs/>
          <w:sz w:val="24"/>
          <w:szCs w:val="28"/>
        </w:rPr>
      </w:pPr>
    </w:p>
    <w:p w14:paraId="20361826" w14:textId="07132C10" w:rsidR="00193691" w:rsidRDefault="006E5E93" w:rsidP="00BC6F52">
      <w:pPr>
        <w:spacing w:line="240" w:lineRule="auto"/>
        <w:contextualSpacing/>
        <w:rPr>
          <w:rFonts w:ascii="Garamond" w:hAnsi="Garamond" w:cs="Times New Roman"/>
          <w:sz w:val="24"/>
          <w:szCs w:val="28"/>
        </w:rPr>
      </w:pPr>
      <w:r>
        <w:rPr>
          <w:rFonts w:ascii="Garamond" w:hAnsi="Garamond" w:cs="Times New Roman"/>
          <w:sz w:val="24"/>
          <w:szCs w:val="28"/>
        </w:rPr>
        <w:t xml:space="preserve">Over the course of the semester, you will write two two-page (double-spaced) research notes. You can write a research note about any of the following modules from class: </w:t>
      </w:r>
      <w:r w:rsidR="005118FA">
        <w:rPr>
          <w:rFonts w:ascii="Garamond" w:hAnsi="Garamond" w:cs="Times New Roman"/>
          <w:sz w:val="24"/>
          <w:szCs w:val="28"/>
        </w:rPr>
        <w:t xml:space="preserve">IRB, the use of newspapers/FBIS, interviews, field research, archives, FOIA, </w:t>
      </w:r>
      <w:r w:rsidR="00CC1E99">
        <w:rPr>
          <w:rFonts w:ascii="Garamond" w:hAnsi="Garamond" w:cs="Times New Roman"/>
          <w:sz w:val="24"/>
          <w:szCs w:val="28"/>
        </w:rPr>
        <w:t>memoirs/oral histories, and digital databases</w:t>
      </w:r>
      <w:r>
        <w:rPr>
          <w:rFonts w:ascii="Garamond" w:hAnsi="Garamond" w:cs="Times New Roman"/>
          <w:sz w:val="24"/>
          <w:szCs w:val="28"/>
        </w:rPr>
        <w:t xml:space="preserve">. The research notes are due two weeks after that particular module. </w:t>
      </w:r>
    </w:p>
    <w:p w14:paraId="5853383A" w14:textId="0BA0F3FF" w:rsidR="006E5E93" w:rsidRDefault="006E5E93" w:rsidP="00BC6F52">
      <w:pPr>
        <w:spacing w:line="240" w:lineRule="auto"/>
        <w:contextualSpacing/>
        <w:rPr>
          <w:rFonts w:ascii="Garamond" w:hAnsi="Garamond" w:cs="Times New Roman"/>
          <w:sz w:val="24"/>
          <w:szCs w:val="28"/>
        </w:rPr>
      </w:pPr>
    </w:p>
    <w:p w14:paraId="38BD38D5" w14:textId="45D41B1E" w:rsidR="006E5E93" w:rsidRDefault="006E5E93" w:rsidP="00BC6F52">
      <w:pPr>
        <w:spacing w:line="240" w:lineRule="auto"/>
        <w:contextualSpacing/>
        <w:rPr>
          <w:rFonts w:ascii="Garamond" w:hAnsi="Garamond" w:cs="Times New Roman"/>
          <w:sz w:val="24"/>
          <w:szCs w:val="28"/>
        </w:rPr>
      </w:pPr>
      <w:r>
        <w:rPr>
          <w:rFonts w:ascii="Garamond" w:hAnsi="Garamond" w:cs="Times New Roman"/>
          <w:sz w:val="24"/>
          <w:szCs w:val="28"/>
        </w:rPr>
        <w:t>I want to maximize flexibility for the research note</w:t>
      </w:r>
      <w:r w:rsidR="006D0C66">
        <w:rPr>
          <w:rFonts w:ascii="Garamond" w:hAnsi="Garamond" w:cs="Times New Roman"/>
          <w:sz w:val="24"/>
          <w:szCs w:val="28"/>
        </w:rPr>
        <w:t>—</w:t>
      </w:r>
      <w:r>
        <w:rPr>
          <w:rFonts w:ascii="Garamond" w:hAnsi="Garamond" w:cs="Times New Roman"/>
          <w:sz w:val="24"/>
          <w:szCs w:val="28"/>
        </w:rPr>
        <w:t xml:space="preserve">you can write about how you used what you learned from </w:t>
      </w:r>
      <w:r w:rsidR="0053761A">
        <w:rPr>
          <w:rFonts w:ascii="Garamond" w:hAnsi="Garamond" w:cs="Times New Roman"/>
          <w:sz w:val="24"/>
          <w:szCs w:val="28"/>
        </w:rPr>
        <w:t>the</w:t>
      </w:r>
      <w:r>
        <w:rPr>
          <w:rFonts w:ascii="Garamond" w:hAnsi="Garamond" w:cs="Times New Roman"/>
          <w:sz w:val="24"/>
          <w:szCs w:val="28"/>
        </w:rPr>
        <w:t xml:space="preserve"> module for a) a paper for another class b) the final assignment for this class c) or just practice. Questions you might consider are: what did ideas from </w:t>
      </w:r>
      <w:r w:rsidR="00687D03">
        <w:rPr>
          <w:rFonts w:ascii="Garamond" w:hAnsi="Garamond" w:cs="Times New Roman"/>
          <w:sz w:val="24"/>
          <w:szCs w:val="28"/>
        </w:rPr>
        <w:t>discussion</w:t>
      </w:r>
      <w:r w:rsidR="006D0C66">
        <w:rPr>
          <w:rFonts w:ascii="Garamond" w:hAnsi="Garamond" w:cs="Times New Roman"/>
          <w:sz w:val="24"/>
          <w:szCs w:val="28"/>
        </w:rPr>
        <w:t>s</w:t>
      </w:r>
      <w:r>
        <w:rPr>
          <w:rFonts w:ascii="Garamond" w:hAnsi="Garamond" w:cs="Times New Roman"/>
          <w:sz w:val="24"/>
          <w:szCs w:val="28"/>
        </w:rPr>
        <w:t xml:space="preserve"> or the readings get right or wrong? What surprised you? What is something new you learned about that research technique? How did what you learn change your ongoing research project?  </w:t>
      </w:r>
      <w:r w:rsidR="0079388A">
        <w:rPr>
          <w:rFonts w:ascii="Garamond" w:hAnsi="Garamond" w:cs="Times New Roman"/>
          <w:sz w:val="24"/>
          <w:szCs w:val="28"/>
        </w:rPr>
        <w:t>I will provide specific directions for individual research notes during class.</w:t>
      </w:r>
    </w:p>
    <w:p w14:paraId="25CFC5E6" w14:textId="2EE7DC8D" w:rsidR="006E5E93" w:rsidRDefault="006E5E93" w:rsidP="00BC6F52">
      <w:pPr>
        <w:spacing w:line="240" w:lineRule="auto"/>
        <w:contextualSpacing/>
        <w:rPr>
          <w:rFonts w:ascii="Garamond" w:hAnsi="Garamond" w:cs="Times New Roman"/>
          <w:sz w:val="24"/>
          <w:szCs w:val="28"/>
        </w:rPr>
      </w:pPr>
    </w:p>
    <w:p w14:paraId="1004D874" w14:textId="0874EC25" w:rsidR="006E5E93" w:rsidRDefault="006E5E93" w:rsidP="00BC6F52">
      <w:pPr>
        <w:spacing w:line="240" w:lineRule="auto"/>
        <w:contextualSpacing/>
        <w:rPr>
          <w:rFonts w:ascii="Garamond" w:hAnsi="Garamond" w:cs="Times New Roman"/>
          <w:i/>
          <w:iCs/>
          <w:sz w:val="24"/>
          <w:szCs w:val="28"/>
        </w:rPr>
      </w:pPr>
      <w:r>
        <w:rPr>
          <w:rFonts w:ascii="Garamond" w:hAnsi="Garamond" w:cs="Times New Roman"/>
          <w:i/>
          <w:iCs/>
          <w:sz w:val="24"/>
          <w:szCs w:val="28"/>
        </w:rPr>
        <w:t>Grant application:</w:t>
      </w:r>
    </w:p>
    <w:p w14:paraId="08940809" w14:textId="3204E469" w:rsidR="006E5E93" w:rsidRDefault="006E5E93" w:rsidP="00BC6F52">
      <w:pPr>
        <w:spacing w:line="240" w:lineRule="auto"/>
        <w:contextualSpacing/>
        <w:rPr>
          <w:rFonts w:ascii="Garamond" w:hAnsi="Garamond" w:cs="Times New Roman"/>
          <w:i/>
          <w:iCs/>
          <w:sz w:val="24"/>
          <w:szCs w:val="28"/>
        </w:rPr>
      </w:pPr>
    </w:p>
    <w:p w14:paraId="00BB7141" w14:textId="749443A5" w:rsidR="006E5E93" w:rsidRDefault="0053761A" w:rsidP="00BC6F52">
      <w:pPr>
        <w:spacing w:line="240" w:lineRule="auto"/>
        <w:contextualSpacing/>
        <w:rPr>
          <w:rFonts w:ascii="Garamond" w:hAnsi="Garamond" w:cs="Times New Roman"/>
          <w:sz w:val="24"/>
          <w:szCs w:val="28"/>
        </w:rPr>
      </w:pPr>
      <w:r>
        <w:rPr>
          <w:rFonts w:ascii="Garamond" w:hAnsi="Garamond" w:cs="Times New Roman"/>
          <w:sz w:val="24"/>
          <w:szCs w:val="28"/>
        </w:rPr>
        <w:t>This</w:t>
      </w:r>
      <w:r w:rsidR="005F4ADB">
        <w:rPr>
          <w:rFonts w:ascii="Garamond" w:hAnsi="Garamond" w:cs="Times New Roman"/>
          <w:sz w:val="24"/>
          <w:szCs w:val="28"/>
        </w:rPr>
        <w:t xml:space="preserve"> 2,000</w:t>
      </w:r>
      <w:r w:rsidR="006D0C66">
        <w:rPr>
          <w:rFonts w:ascii="Garamond" w:hAnsi="Garamond" w:cs="Times New Roman"/>
          <w:sz w:val="24"/>
          <w:szCs w:val="28"/>
        </w:rPr>
        <w:t>–</w:t>
      </w:r>
      <w:r w:rsidR="005F4ADB">
        <w:rPr>
          <w:rFonts w:ascii="Garamond" w:hAnsi="Garamond" w:cs="Times New Roman"/>
          <w:sz w:val="24"/>
          <w:szCs w:val="28"/>
        </w:rPr>
        <w:t>2,500</w:t>
      </w:r>
      <w:r w:rsidR="003803CC">
        <w:rPr>
          <w:rFonts w:ascii="Garamond" w:hAnsi="Garamond" w:cs="Times New Roman"/>
          <w:sz w:val="24"/>
          <w:szCs w:val="28"/>
        </w:rPr>
        <w:t>-</w:t>
      </w:r>
      <w:r w:rsidR="005F4ADB">
        <w:rPr>
          <w:rFonts w:ascii="Garamond" w:hAnsi="Garamond" w:cs="Times New Roman"/>
          <w:sz w:val="24"/>
          <w:szCs w:val="28"/>
        </w:rPr>
        <w:t>word</w:t>
      </w:r>
      <w:r>
        <w:rPr>
          <w:rFonts w:ascii="Garamond" w:hAnsi="Garamond" w:cs="Times New Roman"/>
          <w:sz w:val="24"/>
          <w:szCs w:val="28"/>
        </w:rPr>
        <w:t xml:space="preserve"> “mock” grant proposal for a research project using qualitative methods should be written as if you were seriously planning to submit the document for funding. </w:t>
      </w:r>
      <w:r w:rsidR="00E32049">
        <w:rPr>
          <w:rFonts w:ascii="Garamond" w:hAnsi="Garamond" w:cs="Times New Roman"/>
          <w:sz w:val="24"/>
          <w:szCs w:val="28"/>
        </w:rPr>
        <w:t xml:space="preserve">You will learn more about this assignment during the class module on grant proposals. </w:t>
      </w:r>
    </w:p>
    <w:p w14:paraId="4C405B83" w14:textId="5C037DD7" w:rsidR="00814FF2" w:rsidRDefault="00814FF2" w:rsidP="00BC6F52">
      <w:pPr>
        <w:spacing w:line="240" w:lineRule="auto"/>
        <w:contextualSpacing/>
        <w:rPr>
          <w:rFonts w:ascii="Garamond" w:hAnsi="Garamond" w:cs="Times New Roman"/>
          <w:sz w:val="24"/>
          <w:szCs w:val="28"/>
        </w:rPr>
      </w:pPr>
    </w:p>
    <w:p w14:paraId="0CFF855D" w14:textId="7464C8D5" w:rsidR="00814FF2" w:rsidRDefault="00814FF2" w:rsidP="00BC6F52">
      <w:pPr>
        <w:spacing w:line="240" w:lineRule="auto"/>
        <w:contextualSpacing/>
        <w:rPr>
          <w:rFonts w:ascii="Garamond" w:hAnsi="Garamond" w:cs="Times New Roman"/>
          <w:i/>
          <w:iCs/>
          <w:sz w:val="24"/>
          <w:szCs w:val="28"/>
        </w:rPr>
      </w:pPr>
      <w:r>
        <w:rPr>
          <w:rFonts w:ascii="Garamond" w:hAnsi="Garamond" w:cs="Times New Roman"/>
          <w:i/>
          <w:iCs/>
          <w:sz w:val="24"/>
          <w:szCs w:val="28"/>
        </w:rPr>
        <w:t>Dissertation prospectus:</w:t>
      </w:r>
    </w:p>
    <w:p w14:paraId="59797FA6" w14:textId="2522EF47" w:rsidR="00814FF2" w:rsidRDefault="00814FF2" w:rsidP="00BC6F52">
      <w:pPr>
        <w:spacing w:line="240" w:lineRule="auto"/>
        <w:contextualSpacing/>
        <w:rPr>
          <w:rFonts w:ascii="Garamond" w:hAnsi="Garamond" w:cs="Times New Roman"/>
          <w:sz w:val="24"/>
          <w:szCs w:val="28"/>
        </w:rPr>
      </w:pPr>
    </w:p>
    <w:p w14:paraId="484246D1" w14:textId="3C42B77D" w:rsidR="00814FF2" w:rsidRPr="00814FF2" w:rsidRDefault="003803CC" w:rsidP="00BC6F52">
      <w:pPr>
        <w:spacing w:line="240" w:lineRule="auto"/>
        <w:contextualSpacing/>
        <w:rPr>
          <w:rFonts w:ascii="Garamond" w:hAnsi="Garamond" w:cs="Times New Roman"/>
          <w:sz w:val="24"/>
          <w:szCs w:val="28"/>
        </w:rPr>
      </w:pPr>
      <w:r>
        <w:rPr>
          <w:rFonts w:ascii="Garamond" w:hAnsi="Garamond" w:cs="Times New Roman"/>
          <w:sz w:val="24"/>
          <w:szCs w:val="28"/>
        </w:rPr>
        <w:t xml:space="preserve">The dissertation prospectus is a 4,500 to 5,000-word updated, expanded version of the grant proposal. </w:t>
      </w:r>
      <w:r w:rsidR="00314AA1">
        <w:rPr>
          <w:rFonts w:ascii="Garamond" w:hAnsi="Garamond" w:cs="Times New Roman"/>
          <w:sz w:val="24"/>
          <w:szCs w:val="28"/>
        </w:rPr>
        <w:t xml:space="preserve">You will almost certainly want to read the “Optional” assignments </w:t>
      </w:r>
      <w:r w:rsidR="00ED20D6">
        <w:rPr>
          <w:rFonts w:ascii="Garamond" w:hAnsi="Garamond" w:cs="Times New Roman"/>
          <w:sz w:val="24"/>
          <w:szCs w:val="28"/>
        </w:rPr>
        <w:t xml:space="preserve">on this syllabus for whichever qualitative methods you are using for the prospectus. </w:t>
      </w:r>
    </w:p>
    <w:p w14:paraId="17B4ED0B" w14:textId="12F674CC" w:rsidR="00193691" w:rsidRDefault="00193691" w:rsidP="00BC6F52">
      <w:pPr>
        <w:spacing w:line="240" w:lineRule="auto"/>
        <w:contextualSpacing/>
        <w:rPr>
          <w:rFonts w:ascii="Garamond" w:hAnsi="Garamond" w:cs="Times New Roman"/>
          <w:i/>
          <w:iCs/>
          <w:sz w:val="24"/>
          <w:szCs w:val="28"/>
        </w:rPr>
      </w:pPr>
    </w:p>
    <w:p w14:paraId="4BA5957D" w14:textId="77777777" w:rsidR="00193691" w:rsidRPr="009236F8" w:rsidRDefault="00193691" w:rsidP="00193691">
      <w:pPr>
        <w:spacing w:line="240" w:lineRule="auto"/>
        <w:contextualSpacing/>
        <w:rPr>
          <w:rFonts w:ascii="Garamond" w:hAnsi="Garamond" w:cs="Times New Roman"/>
          <w:i/>
          <w:iCs/>
          <w:sz w:val="24"/>
          <w:szCs w:val="24"/>
        </w:rPr>
      </w:pPr>
      <w:r>
        <w:rPr>
          <w:rFonts w:ascii="Garamond" w:hAnsi="Garamond" w:cs="Times New Roman"/>
          <w:i/>
          <w:iCs/>
          <w:sz w:val="24"/>
          <w:szCs w:val="24"/>
        </w:rPr>
        <w:t>Wikimedia pizza party:</w:t>
      </w:r>
    </w:p>
    <w:p w14:paraId="2A64B640" w14:textId="77777777" w:rsidR="00193691" w:rsidRDefault="00193691" w:rsidP="00193691">
      <w:pPr>
        <w:spacing w:line="240" w:lineRule="auto"/>
        <w:contextualSpacing/>
        <w:rPr>
          <w:rFonts w:ascii="Garamond" w:hAnsi="Garamond" w:cs="Times New Roman"/>
          <w:sz w:val="24"/>
          <w:szCs w:val="24"/>
        </w:rPr>
      </w:pPr>
    </w:p>
    <w:p w14:paraId="60284942" w14:textId="7B966354" w:rsidR="005A1DE0" w:rsidRPr="00870100" w:rsidRDefault="00CF4959" w:rsidP="00193691">
      <w:pPr>
        <w:spacing w:line="240" w:lineRule="auto"/>
        <w:contextualSpacing/>
        <w:rPr>
          <w:rFonts w:ascii="Garamond" w:hAnsi="Garamond" w:cs="Times New Roman"/>
          <w:sz w:val="24"/>
          <w:szCs w:val="24"/>
        </w:rPr>
      </w:pPr>
      <w:r w:rsidRPr="00CF4959">
        <w:rPr>
          <w:rFonts w:ascii="Garamond" w:hAnsi="Garamond" w:cs="Times New Roman"/>
          <w:sz w:val="24"/>
          <w:szCs w:val="24"/>
        </w:rPr>
        <w:t>At this pizza party, Ariel Cetrone of Wikimedia District of Columbia will conduct Wikipedia editing training so we can edit or create new profiles. “Qualitative Methods in International Relations” is a class on the collection and interpretation of evidence, and the purpose of this exercise is to show an example of how knowledge can be selectively produced. Although Wikipedia is one of the most popular research resources in the world, biographies on the site are disproportionately those of men, particularly those identifying as heterosexual, cisgender, and white. This party will happen outside of normally scheduled class hours at a time everyone can attend.</w:t>
      </w:r>
    </w:p>
    <w:p w14:paraId="100B23D3" w14:textId="166A0C0E" w:rsidR="00DB1266" w:rsidRDefault="00DB1266" w:rsidP="00A06442">
      <w:pPr>
        <w:rPr>
          <w:rFonts w:ascii="Garamond" w:hAnsi="Garamond" w:cstheme="minorHAnsi"/>
          <w:sz w:val="24"/>
          <w:szCs w:val="24"/>
        </w:rPr>
      </w:pPr>
    </w:p>
    <w:p w14:paraId="76996EFB" w14:textId="5BBB6E41" w:rsidR="005A1DE0" w:rsidRDefault="005A1DE0" w:rsidP="00A06442">
      <w:pPr>
        <w:rPr>
          <w:rFonts w:ascii="Garamond" w:hAnsi="Garamond" w:cstheme="minorHAnsi"/>
          <w:sz w:val="24"/>
          <w:szCs w:val="24"/>
        </w:rPr>
      </w:pPr>
      <w:r>
        <w:rPr>
          <w:rFonts w:ascii="Garamond" w:hAnsi="Garamond" w:cstheme="minorHAnsi"/>
          <w:sz w:val="24"/>
          <w:szCs w:val="24"/>
        </w:rPr>
        <w:t>All readings in bold are required.</w:t>
      </w:r>
    </w:p>
    <w:p w14:paraId="408190AD" w14:textId="77777777" w:rsidR="00016483" w:rsidRDefault="00016483" w:rsidP="00A06442">
      <w:pPr>
        <w:rPr>
          <w:rFonts w:ascii="Garamond" w:hAnsi="Garamond"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016483" w:rsidRPr="00604664" w14:paraId="69935469" w14:textId="77777777" w:rsidTr="00C66D09">
        <w:tc>
          <w:tcPr>
            <w:tcW w:w="1885" w:type="dxa"/>
          </w:tcPr>
          <w:p w14:paraId="7B888CBF" w14:textId="77777777" w:rsidR="00016483" w:rsidRPr="00DC4EA2" w:rsidRDefault="00016483" w:rsidP="00C66D09">
            <w:pPr>
              <w:rPr>
                <w:rFonts w:ascii="Garamond" w:hAnsi="Garamond"/>
                <w:b/>
                <w:bCs/>
                <w:sz w:val="24"/>
                <w:szCs w:val="24"/>
              </w:rPr>
            </w:pPr>
            <w:r w:rsidRPr="00DC4EA2">
              <w:rPr>
                <w:rFonts w:ascii="Garamond" w:hAnsi="Garamond"/>
                <w:b/>
                <w:bCs/>
                <w:sz w:val="24"/>
                <w:szCs w:val="24"/>
              </w:rPr>
              <w:t>January 23</w:t>
            </w:r>
          </w:p>
        </w:tc>
        <w:tc>
          <w:tcPr>
            <w:tcW w:w="7465" w:type="dxa"/>
          </w:tcPr>
          <w:p w14:paraId="408C833B" w14:textId="77777777" w:rsidR="00016483" w:rsidRPr="00DC4EA2" w:rsidRDefault="00016483" w:rsidP="00C66D09">
            <w:pPr>
              <w:rPr>
                <w:rFonts w:ascii="Garamond" w:hAnsi="Garamond"/>
                <w:b/>
                <w:bCs/>
                <w:sz w:val="24"/>
                <w:szCs w:val="24"/>
              </w:rPr>
            </w:pPr>
            <w:r w:rsidRPr="00DC4EA2">
              <w:rPr>
                <w:rFonts w:ascii="Garamond" w:hAnsi="Garamond"/>
                <w:b/>
                <w:bCs/>
                <w:sz w:val="24"/>
                <w:szCs w:val="24"/>
              </w:rPr>
              <w:t>Ethics and positionality</w:t>
            </w:r>
          </w:p>
        </w:tc>
      </w:tr>
      <w:tr w:rsidR="00016483" w:rsidRPr="00604664" w14:paraId="668115D0" w14:textId="77777777" w:rsidTr="00C66D09">
        <w:tc>
          <w:tcPr>
            <w:tcW w:w="1885" w:type="dxa"/>
          </w:tcPr>
          <w:p w14:paraId="541A2226" w14:textId="77777777" w:rsidR="00016483" w:rsidRPr="00DC4EA2" w:rsidRDefault="00016483" w:rsidP="00C66D09">
            <w:pPr>
              <w:rPr>
                <w:rFonts w:ascii="Garamond" w:hAnsi="Garamond"/>
                <w:b/>
                <w:bCs/>
                <w:sz w:val="24"/>
                <w:szCs w:val="24"/>
              </w:rPr>
            </w:pPr>
          </w:p>
        </w:tc>
        <w:tc>
          <w:tcPr>
            <w:tcW w:w="7465" w:type="dxa"/>
          </w:tcPr>
          <w:p w14:paraId="33D15D33" w14:textId="77777777" w:rsidR="00DC4EA2" w:rsidRPr="00DC4EA2" w:rsidRDefault="00DC4EA2" w:rsidP="00C66D09">
            <w:pPr>
              <w:rPr>
                <w:rFonts w:ascii="Garamond" w:hAnsi="Garamond"/>
                <w:b/>
                <w:bCs/>
                <w:sz w:val="24"/>
                <w:szCs w:val="24"/>
              </w:rPr>
            </w:pPr>
          </w:p>
          <w:p w14:paraId="3F8D980B" w14:textId="75C2234E" w:rsidR="00016483" w:rsidRPr="00DC4EA2" w:rsidRDefault="00016483" w:rsidP="00C66D09">
            <w:pPr>
              <w:rPr>
                <w:rFonts w:ascii="Garamond" w:hAnsi="Garamond"/>
                <w:b/>
                <w:bCs/>
                <w:sz w:val="24"/>
                <w:szCs w:val="24"/>
              </w:rPr>
            </w:pPr>
            <w:r w:rsidRPr="00DC4EA2">
              <w:rPr>
                <w:rFonts w:ascii="Garamond" w:hAnsi="Garamond"/>
                <w:b/>
                <w:bCs/>
                <w:sz w:val="24"/>
                <w:szCs w:val="24"/>
              </w:rPr>
              <w:t>How do I do an IRB?</w:t>
            </w:r>
          </w:p>
          <w:p w14:paraId="099CFC20" w14:textId="16F491E4" w:rsidR="007117E6" w:rsidRPr="00DC4EA2" w:rsidRDefault="007117E6" w:rsidP="00C66D09">
            <w:pPr>
              <w:rPr>
                <w:rFonts w:ascii="Garamond" w:hAnsi="Garamond"/>
                <w:b/>
                <w:bCs/>
                <w:sz w:val="24"/>
                <w:szCs w:val="24"/>
              </w:rPr>
            </w:pPr>
          </w:p>
        </w:tc>
      </w:tr>
      <w:tr w:rsidR="00016483" w:rsidRPr="00604664" w14:paraId="5D6D901A" w14:textId="77777777" w:rsidTr="00C66D09">
        <w:tc>
          <w:tcPr>
            <w:tcW w:w="1885" w:type="dxa"/>
          </w:tcPr>
          <w:p w14:paraId="012EC3A1" w14:textId="305A8A66" w:rsidR="00016483" w:rsidRPr="00DC4EA2" w:rsidRDefault="00016483" w:rsidP="00016483">
            <w:pPr>
              <w:rPr>
                <w:rFonts w:ascii="Garamond" w:hAnsi="Garamond"/>
                <w:b/>
                <w:bCs/>
                <w:sz w:val="24"/>
                <w:szCs w:val="24"/>
              </w:rPr>
            </w:pPr>
            <w:r w:rsidRPr="00DC4EA2">
              <w:rPr>
                <w:rFonts w:ascii="Garamond" w:hAnsi="Garamond"/>
                <w:b/>
                <w:bCs/>
                <w:sz w:val="24"/>
                <w:szCs w:val="24"/>
              </w:rPr>
              <w:t>January 30</w:t>
            </w:r>
          </w:p>
        </w:tc>
        <w:tc>
          <w:tcPr>
            <w:tcW w:w="7465" w:type="dxa"/>
          </w:tcPr>
          <w:p w14:paraId="1EB38530"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Ontology</w:t>
            </w:r>
          </w:p>
          <w:p w14:paraId="7A139CA6" w14:textId="01F13CBB" w:rsidR="00DC4EA2" w:rsidRPr="00DC4EA2" w:rsidRDefault="00DC4EA2" w:rsidP="00016483">
            <w:pPr>
              <w:rPr>
                <w:rFonts w:ascii="Garamond" w:hAnsi="Garamond"/>
                <w:b/>
                <w:bCs/>
                <w:sz w:val="24"/>
                <w:szCs w:val="24"/>
              </w:rPr>
            </w:pPr>
          </w:p>
        </w:tc>
      </w:tr>
      <w:tr w:rsidR="00016483" w:rsidRPr="00604664" w14:paraId="092DB0EE" w14:textId="77777777" w:rsidTr="00C66D09">
        <w:tc>
          <w:tcPr>
            <w:tcW w:w="1885" w:type="dxa"/>
          </w:tcPr>
          <w:p w14:paraId="4F3E2E4E" w14:textId="73243649" w:rsidR="00016483" w:rsidRPr="00DC4EA2" w:rsidRDefault="00016483" w:rsidP="00016483">
            <w:pPr>
              <w:rPr>
                <w:rFonts w:ascii="Garamond" w:hAnsi="Garamond"/>
                <w:b/>
                <w:bCs/>
                <w:sz w:val="24"/>
                <w:szCs w:val="24"/>
              </w:rPr>
            </w:pPr>
          </w:p>
        </w:tc>
        <w:tc>
          <w:tcPr>
            <w:tcW w:w="7465" w:type="dxa"/>
          </w:tcPr>
          <w:p w14:paraId="6BC3D487"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How do I do a literature review?</w:t>
            </w:r>
          </w:p>
          <w:p w14:paraId="1F833FA7" w14:textId="360EAB06" w:rsidR="007117E6" w:rsidRPr="00DC4EA2" w:rsidRDefault="007117E6" w:rsidP="00016483">
            <w:pPr>
              <w:rPr>
                <w:rFonts w:ascii="Garamond" w:hAnsi="Garamond"/>
                <w:b/>
                <w:bCs/>
                <w:sz w:val="24"/>
                <w:szCs w:val="24"/>
              </w:rPr>
            </w:pPr>
          </w:p>
        </w:tc>
      </w:tr>
      <w:tr w:rsidR="00016483" w:rsidRPr="00604664" w14:paraId="4F07EADA" w14:textId="77777777" w:rsidTr="00C66D09">
        <w:tc>
          <w:tcPr>
            <w:tcW w:w="1885" w:type="dxa"/>
          </w:tcPr>
          <w:p w14:paraId="38E943F9" w14:textId="1C7C47E5" w:rsidR="00016483" w:rsidRPr="00DC4EA2" w:rsidRDefault="00016483" w:rsidP="00016483">
            <w:pPr>
              <w:rPr>
                <w:rFonts w:ascii="Garamond" w:hAnsi="Garamond"/>
                <w:b/>
                <w:bCs/>
                <w:sz w:val="24"/>
                <w:szCs w:val="24"/>
              </w:rPr>
            </w:pPr>
            <w:r w:rsidRPr="00DC4EA2">
              <w:rPr>
                <w:rFonts w:ascii="Garamond" w:hAnsi="Garamond"/>
                <w:b/>
                <w:bCs/>
                <w:sz w:val="24"/>
                <w:szCs w:val="24"/>
              </w:rPr>
              <w:t>February 6</w:t>
            </w:r>
          </w:p>
        </w:tc>
        <w:tc>
          <w:tcPr>
            <w:tcW w:w="7465" w:type="dxa"/>
          </w:tcPr>
          <w:p w14:paraId="45CAAAA5"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Causation</w:t>
            </w:r>
          </w:p>
          <w:p w14:paraId="67E1730F" w14:textId="68093F34" w:rsidR="00DC4EA2" w:rsidRPr="00DC4EA2" w:rsidRDefault="00DC4EA2" w:rsidP="00016483">
            <w:pPr>
              <w:rPr>
                <w:rFonts w:ascii="Garamond" w:hAnsi="Garamond"/>
                <w:b/>
                <w:bCs/>
                <w:sz w:val="24"/>
                <w:szCs w:val="24"/>
              </w:rPr>
            </w:pPr>
          </w:p>
        </w:tc>
      </w:tr>
      <w:tr w:rsidR="00016483" w:rsidRPr="00604664" w14:paraId="2E9499C9" w14:textId="77777777" w:rsidTr="00C66D09">
        <w:tc>
          <w:tcPr>
            <w:tcW w:w="1885" w:type="dxa"/>
          </w:tcPr>
          <w:p w14:paraId="7DC99651" w14:textId="4F438B80" w:rsidR="00016483" w:rsidRPr="00DC4EA2" w:rsidRDefault="00016483" w:rsidP="00016483">
            <w:pPr>
              <w:rPr>
                <w:rFonts w:ascii="Garamond" w:hAnsi="Garamond"/>
                <w:b/>
                <w:bCs/>
                <w:sz w:val="24"/>
                <w:szCs w:val="24"/>
              </w:rPr>
            </w:pPr>
          </w:p>
        </w:tc>
        <w:tc>
          <w:tcPr>
            <w:tcW w:w="7465" w:type="dxa"/>
          </w:tcPr>
          <w:p w14:paraId="3D7E7042"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How do I write a grant proposal?</w:t>
            </w:r>
          </w:p>
          <w:p w14:paraId="39989B8F" w14:textId="52BD2698" w:rsidR="007117E6" w:rsidRPr="00DC4EA2" w:rsidRDefault="007117E6" w:rsidP="00016483">
            <w:pPr>
              <w:rPr>
                <w:rFonts w:ascii="Garamond" w:hAnsi="Garamond"/>
                <w:b/>
                <w:bCs/>
                <w:sz w:val="24"/>
                <w:szCs w:val="24"/>
              </w:rPr>
            </w:pPr>
          </w:p>
        </w:tc>
      </w:tr>
      <w:tr w:rsidR="00016483" w:rsidRPr="00604664" w14:paraId="194C85A9" w14:textId="77777777" w:rsidTr="00C66D09">
        <w:tc>
          <w:tcPr>
            <w:tcW w:w="1885" w:type="dxa"/>
          </w:tcPr>
          <w:p w14:paraId="15DC8FE2" w14:textId="66DED1B0" w:rsidR="00016483" w:rsidRPr="00DC4EA2" w:rsidRDefault="00016483" w:rsidP="00016483">
            <w:pPr>
              <w:rPr>
                <w:rFonts w:ascii="Garamond" w:hAnsi="Garamond"/>
                <w:b/>
                <w:bCs/>
                <w:sz w:val="24"/>
                <w:szCs w:val="24"/>
              </w:rPr>
            </w:pPr>
            <w:r w:rsidRPr="00DC4EA2">
              <w:rPr>
                <w:rFonts w:ascii="Garamond" w:hAnsi="Garamond"/>
                <w:b/>
                <w:bCs/>
                <w:sz w:val="24"/>
                <w:szCs w:val="24"/>
              </w:rPr>
              <w:t>February 13</w:t>
            </w:r>
          </w:p>
        </w:tc>
        <w:tc>
          <w:tcPr>
            <w:tcW w:w="7465" w:type="dxa"/>
          </w:tcPr>
          <w:p w14:paraId="4FBFEEBF"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Qualitative and quantitative neopositivism</w:t>
            </w:r>
          </w:p>
          <w:p w14:paraId="49889F1A" w14:textId="0B016658" w:rsidR="00DC4EA2" w:rsidRPr="00DC4EA2" w:rsidRDefault="00DC4EA2" w:rsidP="00016483">
            <w:pPr>
              <w:rPr>
                <w:rFonts w:ascii="Garamond" w:hAnsi="Garamond"/>
                <w:b/>
                <w:bCs/>
                <w:sz w:val="24"/>
                <w:szCs w:val="24"/>
              </w:rPr>
            </w:pPr>
          </w:p>
        </w:tc>
      </w:tr>
      <w:tr w:rsidR="00016483" w:rsidRPr="00604664" w14:paraId="7D09E826" w14:textId="77777777" w:rsidTr="00087827">
        <w:trPr>
          <w:trHeight w:val="531"/>
        </w:trPr>
        <w:tc>
          <w:tcPr>
            <w:tcW w:w="1885" w:type="dxa"/>
          </w:tcPr>
          <w:p w14:paraId="27B05660" w14:textId="6D4B8670" w:rsidR="00016483" w:rsidRPr="00DC4EA2" w:rsidRDefault="00016483" w:rsidP="00016483">
            <w:pPr>
              <w:rPr>
                <w:rFonts w:ascii="Garamond" w:hAnsi="Garamond"/>
                <w:b/>
                <w:bCs/>
                <w:sz w:val="24"/>
                <w:szCs w:val="24"/>
              </w:rPr>
            </w:pPr>
          </w:p>
        </w:tc>
        <w:tc>
          <w:tcPr>
            <w:tcW w:w="7465" w:type="dxa"/>
          </w:tcPr>
          <w:p w14:paraId="32EE5A45" w14:textId="77777777" w:rsidR="00016483" w:rsidRPr="00DC4EA2" w:rsidRDefault="00016483" w:rsidP="00016483">
            <w:pPr>
              <w:spacing w:after="160" w:line="259" w:lineRule="auto"/>
              <w:rPr>
                <w:rFonts w:ascii="Garamond" w:hAnsi="Garamond"/>
                <w:b/>
                <w:bCs/>
                <w:sz w:val="24"/>
                <w:szCs w:val="24"/>
              </w:rPr>
            </w:pPr>
            <w:r w:rsidRPr="00DC4EA2">
              <w:rPr>
                <w:rFonts w:ascii="Garamond" w:hAnsi="Garamond"/>
                <w:b/>
                <w:bCs/>
                <w:sz w:val="24"/>
                <w:szCs w:val="24"/>
              </w:rPr>
              <w:t>How do I use public information (like newspapers and FBIS) to do research on very current events?</w:t>
            </w:r>
          </w:p>
        </w:tc>
      </w:tr>
      <w:tr w:rsidR="00016483" w:rsidRPr="00604664" w14:paraId="4CB9D853" w14:textId="77777777" w:rsidTr="00C66D09">
        <w:tc>
          <w:tcPr>
            <w:tcW w:w="1885" w:type="dxa"/>
          </w:tcPr>
          <w:p w14:paraId="001BE6E8" w14:textId="0D1F414E" w:rsidR="00016483" w:rsidRPr="00DC4EA2" w:rsidRDefault="00016483" w:rsidP="00016483">
            <w:pPr>
              <w:rPr>
                <w:rFonts w:ascii="Garamond" w:hAnsi="Garamond"/>
                <w:b/>
                <w:bCs/>
                <w:sz w:val="24"/>
                <w:szCs w:val="24"/>
              </w:rPr>
            </w:pPr>
            <w:r w:rsidRPr="00DC4EA2">
              <w:rPr>
                <w:rFonts w:ascii="Garamond" w:hAnsi="Garamond"/>
                <w:b/>
                <w:bCs/>
                <w:sz w:val="24"/>
                <w:szCs w:val="24"/>
              </w:rPr>
              <w:t>February 20</w:t>
            </w:r>
          </w:p>
        </w:tc>
        <w:tc>
          <w:tcPr>
            <w:tcW w:w="7465" w:type="dxa"/>
          </w:tcPr>
          <w:p w14:paraId="04F16552"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“Multi-method” research</w:t>
            </w:r>
          </w:p>
          <w:p w14:paraId="4975F160" w14:textId="1136F8BF" w:rsidR="00DC4EA2" w:rsidRPr="00DC4EA2" w:rsidRDefault="00DC4EA2" w:rsidP="00016483">
            <w:pPr>
              <w:rPr>
                <w:rFonts w:ascii="Garamond" w:hAnsi="Garamond"/>
                <w:b/>
                <w:bCs/>
                <w:sz w:val="24"/>
                <w:szCs w:val="24"/>
              </w:rPr>
            </w:pPr>
          </w:p>
        </w:tc>
      </w:tr>
      <w:tr w:rsidR="00016483" w:rsidRPr="00604664" w14:paraId="092AA6BA" w14:textId="77777777" w:rsidTr="00C66D09">
        <w:tc>
          <w:tcPr>
            <w:tcW w:w="1885" w:type="dxa"/>
          </w:tcPr>
          <w:p w14:paraId="10ACD853" w14:textId="057167D5" w:rsidR="00016483" w:rsidRPr="00DC4EA2" w:rsidRDefault="00016483" w:rsidP="00016483">
            <w:pPr>
              <w:rPr>
                <w:rFonts w:ascii="Garamond" w:hAnsi="Garamond"/>
                <w:b/>
                <w:bCs/>
                <w:sz w:val="24"/>
                <w:szCs w:val="24"/>
              </w:rPr>
            </w:pPr>
          </w:p>
        </w:tc>
        <w:tc>
          <w:tcPr>
            <w:tcW w:w="7465" w:type="dxa"/>
          </w:tcPr>
          <w:p w14:paraId="51F39868" w14:textId="77777777" w:rsidR="00016483" w:rsidRPr="00DC4EA2" w:rsidRDefault="00016483" w:rsidP="00016483">
            <w:pPr>
              <w:spacing w:after="160" w:line="259" w:lineRule="auto"/>
              <w:rPr>
                <w:rFonts w:ascii="Garamond" w:hAnsi="Garamond"/>
                <w:b/>
                <w:bCs/>
                <w:sz w:val="24"/>
                <w:szCs w:val="24"/>
              </w:rPr>
            </w:pPr>
            <w:r w:rsidRPr="00DC4EA2">
              <w:rPr>
                <w:rFonts w:ascii="Garamond" w:hAnsi="Garamond"/>
                <w:b/>
                <w:bCs/>
                <w:sz w:val="24"/>
                <w:szCs w:val="24"/>
              </w:rPr>
              <w:t>Interviews Part 1: General techniques</w:t>
            </w:r>
          </w:p>
        </w:tc>
      </w:tr>
      <w:tr w:rsidR="00016483" w:rsidRPr="00604664" w14:paraId="4B6FF746" w14:textId="77777777" w:rsidTr="00C66D09">
        <w:tc>
          <w:tcPr>
            <w:tcW w:w="1885" w:type="dxa"/>
          </w:tcPr>
          <w:p w14:paraId="444AD1FC" w14:textId="03190430" w:rsidR="00016483" w:rsidRPr="00DC4EA2" w:rsidRDefault="00016483" w:rsidP="00016483">
            <w:pPr>
              <w:rPr>
                <w:rFonts w:ascii="Garamond" w:hAnsi="Garamond"/>
                <w:b/>
                <w:bCs/>
                <w:sz w:val="24"/>
                <w:szCs w:val="24"/>
              </w:rPr>
            </w:pPr>
            <w:r w:rsidRPr="00DC4EA2">
              <w:rPr>
                <w:rFonts w:ascii="Garamond" w:hAnsi="Garamond"/>
                <w:b/>
                <w:bCs/>
                <w:sz w:val="24"/>
                <w:szCs w:val="24"/>
              </w:rPr>
              <w:lastRenderedPageBreak/>
              <w:t>February 27</w:t>
            </w:r>
          </w:p>
        </w:tc>
        <w:tc>
          <w:tcPr>
            <w:tcW w:w="7465" w:type="dxa"/>
          </w:tcPr>
          <w:p w14:paraId="1ECF017D"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Ethnography and interpretivism</w:t>
            </w:r>
          </w:p>
          <w:p w14:paraId="05669508" w14:textId="3BC8BB87" w:rsidR="00DC4EA2" w:rsidRPr="00DC4EA2" w:rsidRDefault="00DC4EA2" w:rsidP="00016483">
            <w:pPr>
              <w:rPr>
                <w:rFonts w:ascii="Garamond" w:hAnsi="Garamond"/>
                <w:b/>
                <w:bCs/>
                <w:sz w:val="24"/>
                <w:szCs w:val="24"/>
              </w:rPr>
            </w:pPr>
          </w:p>
        </w:tc>
      </w:tr>
      <w:tr w:rsidR="00016483" w:rsidRPr="00604664" w14:paraId="3DD094EB" w14:textId="77777777" w:rsidTr="00C66D09">
        <w:tc>
          <w:tcPr>
            <w:tcW w:w="1885" w:type="dxa"/>
          </w:tcPr>
          <w:p w14:paraId="216E0815" w14:textId="6AA914A4" w:rsidR="00016483" w:rsidRPr="00DC4EA2" w:rsidRDefault="00016483" w:rsidP="00016483">
            <w:pPr>
              <w:rPr>
                <w:rFonts w:ascii="Garamond" w:hAnsi="Garamond"/>
                <w:b/>
                <w:bCs/>
                <w:sz w:val="24"/>
                <w:szCs w:val="24"/>
              </w:rPr>
            </w:pPr>
          </w:p>
        </w:tc>
        <w:tc>
          <w:tcPr>
            <w:tcW w:w="7465" w:type="dxa"/>
          </w:tcPr>
          <w:p w14:paraId="01AF70E8"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Interviews Part 2: Interviewing elites and relations with foreign scholars</w:t>
            </w:r>
          </w:p>
          <w:p w14:paraId="1538C454" w14:textId="36A5620E" w:rsidR="007117E6" w:rsidRPr="00DC4EA2" w:rsidRDefault="007117E6" w:rsidP="00016483">
            <w:pPr>
              <w:rPr>
                <w:rFonts w:ascii="Garamond" w:hAnsi="Garamond"/>
                <w:b/>
                <w:bCs/>
                <w:sz w:val="24"/>
                <w:szCs w:val="24"/>
              </w:rPr>
            </w:pPr>
          </w:p>
        </w:tc>
      </w:tr>
      <w:tr w:rsidR="00016483" w:rsidRPr="00604664" w14:paraId="1F3FFF9C" w14:textId="77777777" w:rsidTr="00C66D09">
        <w:tc>
          <w:tcPr>
            <w:tcW w:w="1885" w:type="dxa"/>
          </w:tcPr>
          <w:p w14:paraId="05EDE360" w14:textId="71C25769" w:rsidR="00016483" w:rsidRPr="00DC4EA2" w:rsidRDefault="00016483" w:rsidP="00016483">
            <w:pPr>
              <w:rPr>
                <w:rFonts w:ascii="Garamond" w:hAnsi="Garamond"/>
                <w:b/>
                <w:bCs/>
                <w:sz w:val="24"/>
                <w:szCs w:val="24"/>
              </w:rPr>
            </w:pPr>
            <w:r w:rsidRPr="00DC4EA2">
              <w:rPr>
                <w:rFonts w:ascii="Garamond" w:hAnsi="Garamond"/>
                <w:b/>
                <w:bCs/>
                <w:sz w:val="24"/>
                <w:szCs w:val="24"/>
              </w:rPr>
              <w:t>March 6</w:t>
            </w:r>
          </w:p>
        </w:tc>
        <w:tc>
          <w:tcPr>
            <w:tcW w:w="7465" w:type="dxa"/>
          </w:tcPr>
          <w:p w14:paraId="630D36D1" w14:textId="77777777" w:rsidR="00016483" w:rsidRPr="00DC4EA2" w:rsidRDefault="00016483" w:rsidP="00016483">
            <w:pPr>
              <w:rPr>
                <w:rFonts w:ascii="Garamond" w:hAnsi="Garamond"/>
                <w:b/>
                <w:bCs/>
                <w:sz w:val="24"/>
                <w:szCs w:val="24"/>
              </w:rPr>
            </w:pPr>
            <w:r w:rsidRPr="00DC4EA2">
              <w:rPr>
                <w:rFonts w:ascii="Garamond" w:hAnsi="Garamond"/>
                <w:b/>
                <w:bCs/>
                <w:sz w:val="24"/>
                <w:szCs w:val="24"/>
              </w:rPr>
              <w:t>Discourse analysis</w:t>
            </w:r>
          </w:p>
          <w:p w14:paraId="123891D9" w14:textId="0678CAEA" w:rsidR="00DC4EA2" w:rsidRPr="00DC4EA2" w:rsidRDefault="00DC4EA2" w:rsidP="00016483">
            <w:pPr>
              <w:rPr>
                <w:rFonts w:ascii="Garamond" w:hAnsi="Garamond"/>
                <w:b/>
                <w:bCs/>
                <w:sz w:val="24"/>
                <w:szCs w:val="24"/>
              </w:rPr>
            </w:pPr>
          </w:p>
        </w:tc>
      </w:tr>
      <w:tr w:rsidR="00016483" w:rsidRPr="00604664" w14:paraId="17516551" w14:textId="77777777" w:rsidTr="00C66D09">
        <w:tc>
          <w:tcPr>
            <w:tcW w:w="1885" w:type="dxa"/>
          </w:tcPr>
          <w:p w14:paraId="753DCBFA" w14:textId="7389D59B" w:rsidR="00016483" w:rsidRPr="00DC4EA2" w:rsidRDefault="00016483" w:rsidP="00016483">
            <w:pPr>
              <w:rPr>
                <w:rFonts w:ascii="Garamond" w:hAnsi="Garamond"/>
                <w:b/>
                <w:bCs/>
                <w:sz w:val="24"/>
                <w:szCs w:val="24"/>
              </w:rPr>
            </w:pPr>
          </w:p>
        </w:tc>
        <w:tc>
          <w:tcPr>
            <w:tcW w:w="7465" w:type="dxa"/>
          </w:tcPr>
          <w:p w14:paraId="5EC71A86" w14:textId="77777777" w:rsidR="00016483" w:rsidRPr="00DC4EA2" w:rsidRDefault="00016483" w:rsidP="00016483">
            <w:pPr>
              <w:spacing w:after="160" w:line="259" w:lineRule="auto"/>
              <w:rPr>
                <w:rFonts w:ascii="Garamond" w:hAnsi="Garamond"/>
                <w:b/>
                <w:bCs/>
                <w:sz w:val="24"/>
                <w:szCs w:val="24"/>
              </w:rPr>
            </w:pPr>
            <w:r w:rsidRPr="00DC4EA2">
              <w:rPr>
                <w:rFonts w:ascii="Garamond" w:hAnsi="Garamond"/>
                <w:b/>
                <w:bCs/>
                <w:sz w:val="24"/>
                <w:szCs w:val="24"/>
              </w:rPr>
              <w:t>How do I prepare to go into the field, and what do I do when I get there?</w:t>
            </w:r>
          </w:p>
        </w:tc>
      </w:tr>
      <w:tr w:rsidR="00016483" w:rsidRPr="00604664" w14:paraId="7ADF132C" w14:textId="77777777" w:rsidTr="00C66D09">
        <w:tc>
          <w:tcPr>
            <w:tcW w:w="1885" w:type="dxa"/>
          </w:tcPr>
          <w:p w14:paraId="28A897B7" w14:textId="47A05D45" w:rsidR="00016483" w:rsidRPr="00DC4EA2" w:rsidRDefault="00016483" w:rsidP="00016483">
            <w:pPr>
              <w:rPr>
                <w:rFonts w:ascii="Garamond" w:hAnsi="Garamond"/>
                <w:b/>
                <w:bCs/>
                <w:sz w:val="24"/>
                <w:szCs w:val="24"/>
              </w:rPr>
            </w:pPr>
            <w:r w:rsidRPr="00DC4EA2">
              <w:rPr>
                <w:rFonts w:ascii="Garamond" w:hAnsi="Garamond"/>
                <w:b/>
                <w:bCs/>
                <w:sz w:val="24"/>
                <w:szCs w:val="24"/>
              </w:rPr>
              <w:t>March 13</w:t>
            </w:r>
          </w:p>
        </w:tc>
        <w:tc>
          <w:tcPr>
            <w:tcW w:w="7465" w:type="dxa"/>
          </w:tcPr>
          <w:p w14:paraId="6651A5AE" w14:textId="77777777" w:rsidR="00016483" w:rsidRPr="00DC4EA2" w:rsidRDefault="00087827" w:rsidP="00016483">
            <w:pPr>
              <w:rPr>
                <w:rFonts w:ascii="Garamond" w:hAnsi="Garamond"/>
                <w:b/>
                <w:bCs/>
                <w:sz w:val="24"/>
                <w:szCs w:val="24"/>
              </w:rPr>
            </w:pPr>
            <w:r w:rsidRPr="00DC4EA2">
              <w:rPr>
                <w:rFonts w:ascii="Garamond" w:hAnsi="Garamond"/>
                <w:b/>
                <w:bCs/>
                <w:sz w:val="24"/>
                <w:szCs w:val="24"/>
              </w:rPr>
              <w:t>Spring break</w:t>
            </w:r>
          </w:p>
          <w:p w14:paraId="66D0FF4D" w14:textId="293B62FF" w:rsidR="006D0C66" w:rsidRPr="00DC4EA2" w:rsidRDefault="006D0C66" w:rsidP="00016483">
            <w:pPr>
              <w:rPr>
                <w:rFonts w:ascii="Garamond" w:hAnsi="Garamond"/>
                <w:b/>
                <w:bCs/>
                <w:sz w:val="24"/>
                <w:szCs w:val="24"/>
              </w:rPr>
            </w:pPr>
          </w:p>
        </w:tc>
      </w:tr>
      <w:tr w:rsidR="00087827" w:rsidRPr="00604664" w14:paraId="06374349" w14:textId="77777777" w:rsidTr="00C66D09">
        <w:tc>
          <w:tcPr>
            <w:tcW w:w="1885" w:type="dxa"/>
          </w:tcPr>
          <w:p w14:paraId="2217C84A" w14:textId="67C949F5" w:rsidR="00087827" w:rsidRPr="00DC4EA2" w:rsidRDefault="00087827" w:rsidP="00087827">
            <w:pPr>
              <w:rPr>
                <w:rFonts w:ascii="Garamond" w:hAnsi="Garamond"/>
                <w:b/>
                <w:bCs/>
                <w:sz w:val="24"/>
                <w:szCs w:val="24"/>
              </w:rPr>
            </w:pPr>
            <w:r w:rsidRPr="00DC4EA2">
              <w:rPr>
                <w:rFonts w:ascii="Garamond" w:hAnsi="Garamond"/>
                <w:b/>
                <w:bCs/>
                <w:sz w:val="24"/>
                <w:szCs w:val="24"/>
              </w:rPr>
              <w:t>March 20</w:t>
            </w:r>
          </w:p>
        </w:tc>
        <w:tc>
          <w:tcPr>
            <w:tcW w:w="7465" w:type="dxa"/>
          </w:tcPr>
          <w:p w14:paraId="5B0B7C65"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The historicist sensibility</w:t>
            </w:r>
            <w:r w:rsidR="003E72C6" w:rsidRPr="00DC4EA2">
              <w:rPr>
                <w:rFonts w:ascii="Garamond" w:hAnsi="Garamond"/>
                <w:b/>
                <w:bCs/>
                <w:sz w:val="24"/>
                <w:szCs w:val="24"/>
              </w:rPr>
              <w:t xml:space="preserve"> (Grant proposal due)</w:t>
            </w:r>
          </w:p>
          <w:p w14:paraId="056B7369" w14:textId="0CFCD887" w:rsidR="00DC4EA2" w:rsidRPr="00DC4EA2" w:rsidRDefault="00DC4EA2" w:rsidP="00087827">
            <w:pPr>
              <w:rPr>
                <w:rFonts w:ascii="Garamond" w:hAnsi="Garamond"/>
                <w:b/>
                <w:bCs/>
                <w:sz w:val="24"/>
                <w:szCs w:val="24"/>
              </w:rPr>
            </w:pPr>
          </w:p>
        </w:tc>
      </w:tr>
      <w:tr w:rsidR="00087827" w:rsidRPr="00604664" w14:paraId="6C4E8148" w14:textId="77777777" w:rsidTr="00C66D09">
        <w:tc>
          <w:tcPr>
            <w:tcW w:w="1885" w:type="dxa"/>
          </w:tcPr>
          <w:p w14:paraId="60D7F245" w14:textId="77777777" w:rsidR="00087827" w:rsidRPr="00DC4EA2" w:rsidRDefault="00087827" w:rsidP="00087827">
            <w:pPr>
              <w:rPr>
                <w:rFonts w:ascii="Garamond" w:hAnsi="Garamond"/>
                <w:b/>
                <w:bCs/>
                <w:sz w:val="24"/>
                <w:szCs w:val="24"/>
              </w:rPr>
            </w:pPr>
          </w:p>
        </w:tc>
        <w:tc>
          <w:tcPr>
            <w:tcW w:w="7465" w:type="dxa"/>
          </w:tcPr>
          <w:p w14:paraId="6EA978D9"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How should I prepare for the archives, and what do I do when I get there?</w:t>
            </w:r>
          </w:p>
          <w:p w14:paraId="5776314F" w14:textId="428B2223" w:rsidR="007117E6" w:rsidRPr="00DC4EA2" w:rsidRDefault="007117E6" w:rsidP="00087827">
            <w:pPr>
              <w:rPr>
                <w:rFonts w:ascii="Garamond" w:hAnsi="Garamond"/>
                <w:b/>
                <w:bCs/>
                <w:sz w:val="24"/>
                <w:szCs w:val="24"/>
              </w:rPr>
            </w:pPr>
          </w:p>
        </w:tc>
      </w:tr>
      <w:tr w:rsidR="00087827" w:rsidRPr="00604664" w14:paraId="3E5B76F9" w14:textId="77777777" w:rsidTr="00C66D09">
        <w:tc>
          <w:tcPr>
            <w:tcW w:w="1885" w:type="dxa"/>
          </w:tcPr>
          <w:p w14:paraId="111D0D95" w14:textId="66CCDC48" w:rsidR="00087827" w:rsidRPr="00DC4EA2" w:rsidRDefault="00087827" w:rsidP="00087827">
            <w:pPr>
              <w:rPr>
                <w:rFonts w:ascii="Garamond" w:hAnsi="Garamond"/>
                <w:b/>
                <w:bCs/>
                <w:sz w:val="24"/>
                <w:szCs w:val="24"/>
              </w:rPr>
            </w:pPr>
            <w:r w:rsidRPr="00DC4EA2">
              <w:rPr>
                <w:rFonts w:ascii="Garamond" w:hAnsi="Garamond"/>
                <w:b/>
                <w:bCs/>
                <w:sz w:val="24"/>
                <w:szCs w:val="24"/>
              </w:rPr>
              <w:t>March 27</w:t>
            </w:r>
          </w:p>
        </w:tc>
        <w:tc>
          <w:tcPr>
            <w:tcW w:w="7465" w:type="dxa"/>
          </w:tcPr>
          <w:p w14:paraId="1B040460"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The Interpretation of evidence</w:t>
            </w:r>
          </w:p>
          <w:p w14:paraId="229EBA3D" w14:textId="62B02839" w:rsidR="00DC4EA2" w:rsidRPr="00DC4EA2" w:rsidRDefault="00DC4EA2" w:rsidP="00087827">
            <w:pPr>
              <w:rPr>
                <w:rFonts w:ascii="Garamond" w:hAnsi="Garamond"/>
                <w:b/>
                <w:bCs/>
                <w:sz w:val="24"/>
                <w:szCs w:val="24"/>
              </w:rPr>
            </w:pPr>
          </w:p>
        </w:tc>
      </w:tr>
      <w:tr w:rsidR="00087827" w:rsidRPr="00604664" w14:paraId="78E667DF" w14:textId="77777777" w:rsidTr="00C66D09">
        <w:trPr>
          <w:trHeight w:val="251"/>
        </w:trPr>
        <w:tc>
          <w:tcPr>
            <w:tcW w:w="1885" w:type="dxa"/>
          </w:tcPr>
          <w:p w14:paraId="55F00CDE" w14:textId="22A87C80" w:rsidR="00087827" w:rsidRPr="00DC4EA2" w:rsidRDefault="00087827" w:rsidP="00087827">
            <w:pPr>
              <w:rPr>
                <w:rFonts w:ascii="Garamond" w:hAnsi="Garamond"/>
                <w:b/>
                <w:bCs/>
                <w:sz w:val="24"/>
                <w:szCs w:val="24"/>
              </w:rPr>
            </w:pPr>
          </w:p>
        </w:tc>
        <w:tc>
          <w:tcPr>
            <w:tcW w:w="7465" w:type="dxa"/>
          </w:tcPr>
          <w:p w14:paraId="752A7564" w14:textId="77777777" w:rsidR="00087827" w:rsidRPr="00DC4EA2" w:rsidRDefault="00087827" w:rsidP="00087827">
            <w:pPr>
              <w:spacing w:after="160" w:line="259" w:lineRule="auto"/>
              <w:rPr>
                <w:rFonts w:ascii="Garamond" w:hAnsi="Garamond"/>
                <w:b/>
                <w:bCs/>
                <w:sz w:val="24"/>
                <w:szCs w:val="24"/>
              </w:rPr>
            </w:pPr>
            <w:r w:rsidRPr="00DC4EA2">
              <w:rPr>
                <w:rFonts w:ascii="Garamond" w:hAnsi="Garamond"/>
                <w:b/>
                <w:bCs/>
                <w:sz w:val="24"/>
                <w:szCs w:val="24"/>
              </w:rPr>
              <w:t>How do I do a FOIA?</w:t>
            </w:r>
          </w:p>
        </w:tc>
      </w:tr>
      <w:tr w:rsidR="00087827" w:rsidRPr="00604664" w14:paraId="3F41184F" w14:textId="77777777" w:rsidTr="00C66D09">
        <w:tc>
          <w:tcPr>
            <w:tcW w:w="1885" w:type="dxa"/>
          </w:tcPr>
          <w:p w14:paraId="3A2BE19B" w14:textId="5C2B9EAE" w:rsidR="00087827" w:rsidRPr="00DC4EA2" w:rsidRDefault="00087827" w:rsidP="00087827">
            <w:pPr>
              <w:rPr>
                <w:rFonts w:ascii="Garamond" w:hAnsi="Garamond"/>
                <w:b/>
                <w:bCs/>
                <w:sz w:val="24"/>
                <w:szCs w:val="24"/>
              </w:rPr>
            </w:pPr>
            <w:r w:rsidRPr="00DC4EA2">
              <w:rPr>
                <w:rFonts w:ascii="Garamond" w:hAnsi="Garamond"/>
                <w:b/>
                <w:bCs/>
                <w:sz w:val="24"/>
                <w:szCs w:val="24"/>
              </w:rPr>
              <w:t>April 3</w:t>
            </w:r>
          </w:p>
        </w:tc>
        <w:tc>
          <w:tcPr>
            <w:tcW w:w="7465" w:type="dxa"/>
          </w:tcPr>
          <w:p w14:paraId="25782C07"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Counterfactuals</w:t>
            </w:r>
          </w:p>
          <w:p w14:paraId="407ABA12" w14:textId="04289F69" w:rsidR="00DC4EA2" w:rsidRPr="00DC4EA2" w:rsidRDefault="00DC4EA2" w:rsidP="00087827">
            <w:pPr>
              <w:rPr>
                <w:rFonts w:ascii="Garamond" w:hAnsi="Garamond"/>
                <w:b/>
                <w:bCs/>
                <w:sz w:val="24"/>
                <w:szCs w:val="24"/>
              </w:rPr>
            </w:pPr>
          </w:p>
        </w:tc>
      </w:tr>
      <w:tr w:rsidR="00087827" w:rsidRPr="00604664" w14:paraId="7CFC3B11" w14:textId="77777777" w:rsidTr="00C66D09">
        <w:tc>
          <w:tcPr>
            <w:tcW w:w="1885" w:type="dxa"/>
          </w:tcPr>
          <w:p w14:paraId="3F4E6B63" w14:textId="34BCF52B" w:rsidR="00087827" w:rsidRPr="00DC4EA2" w:rsidRDefault="00087827" w:rsidP="00087827">
            <w:pPr>
              <w:rPr>
                <w:rFonts w:ascii="Garamond" w:hAnsi="Garamond"/>
                <w:b/>
                <w:bCs/>
                <w:sz w:val="24"/>
                <w:szCs w:val="24"/>
              </w:rPr>
            </w:pPr>
          </w:p>
        </w:tc>
        <w:tc>
          <w:tcPr>
            <w:tcW w:w="7465" w:type="dxa"/>
          </w:tcPr>
          <w:p w14:paraId="3E7A82E4" w14:textId="11B6B288" w:rsidR="00087827" w:rsidRPr="00DC4EA2" w:rsidRDefault="00087827" w:rsidP="00087827">
            <w:pPr>
              <w:spacing w:after="160" w:line="259" w:lineRule="auto"/>
              <w:rPr>
                <w:rFonts w:ascii="Garamond" w:hAnsi="Garamond"/>
                <w:b/>
                <w:bCs/>
                <w:sz w:val="24"/>
                <w:szCs w:val="24"/>
              </w:rPr>
            </w:pPr>
            <w:r w:rsidRPr="00DC4EA2">
              <w:rPr>
                <w:rFonts w:ascii="Garamond" w:hAnsi="Garamond"/>
                <w:b/>
                <w:bCs/>
                <w:sz w:val="24"/>
                <w:szCs w:val="24"/>
              </w:rPr>
              <w:t>How do I write a prospectus?</w:t>
            </w:r>
          </w:p>
        </w:tc>
      </w:tr>
      <w:tr w:rsidR="00087827" w:rsidRPr="00604664" w14:paraId="64B7C306" w14:textId="77777777" w:rsidTr="00C66D09">
        <w:tc>
          <w:tcPr>
            <w:tcW w:w="1885" w:type="dxa"/>
          </w:tcPr>
          <w:p w14:paraId="7372FDFF" w14:textId="107361F7" w:rsidR="00087827" w:rsidRPr="00DC4EA2" w:rsidRDefault="00087827" w:rsidP="00087827">
            <w:pPr>
              <w:rPr>
                <w:rFonts w:ascii="Garamond" w:hAnsi="Garamond"/>
                <w:b/>
                <w:bCs/>
                <w:sz w:val="24"/>
                <w:szCs w:val="24"/>
              </w:rPr>
            </w:pPr>
            <w:r w:rsidRPr="00DC4EA2">
              <w:rPr>
                <w:rFonts w:ascii="Garamond" w:hAnsi="Garamond"/>
                <w:b/>
                <w:bCs/>
                <w:sz w:val="24"/>
                <w:szCs w:val="24"/>
              </w:rPr>
              <w:t>April 10</w:t>
            </w:r>
          </w:p>
        </w:tc>
        <w:tc>
          <w:tcPr>
            <w:tcW w:w="7465" w:type="dxa"/>
          </w:tcPr>
          <w:p w14:paraId="76004855"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Complex systems, contingency, mid-range theories and analytic eclecticism</w:t>
            </w:r>
          </w:p>
          <w:p w14:paraId="1D872589" w14:textId="0E3DDAD1" w:rsidR="00DC4EA2" w:rsidRPr="00DC4EA2" w:rsidRDefault="00DC4EA2" w:rsidP="00087827">
            <w:pPr>
              <w:rPr>
                <w:rFonts w:ascii="Garamond" w:hAnsi="Garamond"/>
                <w:b/>
                <w:bCs/>
                <w:sz w:val="24"/>
                <w:szCs w:val="24"/>
              </w:rPr>
            </w:pPr>
          </w:p>
        </w:tc>
      </w:tr>
      <w:tr w:rsidR="00087827" w:rsidRPr="00604664" w14:paraId="22E10E8C" w14:textId="77777777" w:rsidTr="00C66D09">
        <w:tc>
          <w:tcPr>
            <w:tcW w:w="1885" w:type="dxa"/>
          </w:tcPr>
          <w:p w14:paraId="78C1973E" w14:textId="50165514" w:rsidR="00087827" w:rsidRPr="00DC4EA2" w:rsidRDefault="00087827" w:rsidP="00087827">
            <w:pPr>
              <w:rPr>
                <w:rFonts w:ascii="Garamond" w:hAnsi="Garamond"/>
                <w:b/>
                <w:bCs/>
                <w:sz w:val="24"/>
                <w:szCs w:val="24"/>
              </w:rPr>
            </w:pPr>
          </w:p>
        </w:tc>
        <w:tc>
          <w:tcPr>
            <w:tcW w:w="7465" w:type="dxa"/>
          </w:tcPr>
          <w:p w14:paraId="42F18B8E" w14:textId="3A631810" w:rsidR="00087827" w:rsidRPr="00DC4EA2" w:rsidRDefault="001C1A66" w:rsidP="00087827">
            <w:pPr>
              <w:rPr>
                <w:rFonts w:ascii="Garamond" w:hAnsi="Garamond"/>
                <w:b/>
                <w:bCs/>
                <w:sz w:val="24"/>
                <w:szCs w:val="24"/>
              </w:rPr>
            </w:pPr>
            <w:r>
              <w:rPr>
                <w:rFonts w:ascii="Garamond" w:hAnsi="Garamond"/>
                <w:b/>
                <w:bCs/>
                <w:sz w:val="24"/>
                <w:szCs w:val="24"/>
              </w:rPr>
              <w:t>[</w:t>
            </w:r>
            <w:r w:rsidR="003A095D" w:rsidRPr="00DC4EA2">
              <w:rPr>
                <w:rFonts w:ascii="Garamond" w:hAnsi="Garamond"/>
                <w:b/>
                <w:bCs/>
                <w:sz w:val="24"/>
                <w:szCs w:val="24"/>
              </w:rPr>
              <w:t>Module of your choice</w:t>
            </w:r>
            <w:r>
              <w:rPr>
                <w:rFonts w:ascii="Garamond" w:hAnsi="Garamond"/>
                <w:b/>
                <w:bCs/>
                <w:sz w:val="24"/>
                <w:szCs w:val="24"/>
              </w:rPr>
              <w:t xml:space="preserve"> to be determined during semester]</w:t>
            </w:r>
          </w:p>
          <w:p w14:paraId="35D40C1A" w14:textId="768E0F65" w:rsidR="007117E6" w:rsidRPr="00DC4EA2" w:rsidRDefault="007117E6" w:rsidP="00087827">
            <w:pPr>
              <w:rPr>
                <w:rFonts w:ascii="Garamond" w:hAnsi="Garamond"/>
                <w:b/>
                <w:bCs/>
                <w:sz w:val="24"/>
                <w:szCs w:val="24"/>
              </w:rPr>
            </w:pPr>
          </w:p>
        </w:tc>
      </w:tr>
      <w:tr w:rsidR="00087827" w:rsidRPr="00604664" w14:paraId="1A61898F" w14:textId="77777777" w:rsidTr="00C66D09">
        <w:tc>
          <w:tcPr>
            <w:tcW w:w="1885" w:type="dxa"/>
          </w:tcPr>
          <w:p w14:paraId="2EF7E72E" w14:textId="3581F1A9" w:rsidR="00087827" w:rsidRPr="00DC4EA2" w:rsidRDefault="00087827" w:rsidP="00087827">
            <w:pPr>
              <w:rPr>
                <w:rFonts w:ascii="Garamond" w:hAnsi="Garamond"/>
                <w:b/>
                <w:bCs/>
                <w:sz w:val="24"/>
                <w:szCs w:val="24"/>
              </w:rPr>
            </w:pPr>
            <w:r w:rsidRPr="00DC4EA2">
              <w:rPr>
                <w:rFonts w:ascii="Garamond" w:hAnsi="Garamond"/>
                <w:b/>
                <w:bCs/>
                <w:sz w:val="24"/>
                <w:szCs w:val="24"/>
              </w:rPr>
              <w:t>April 17</w:t>
            </w:r>
          </w:p>
        </w:tc>
        <w:tc>
          <w:tcPr>
            <w:tcW w:w="7465" w:type="dxa"/>
          </w:tcPr>
          <w:p w14:paraId="57E99309"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Concept formation</w:t>
            </w:r>
          </w:p>
          <w:p w14:paraId="776C8CC6" w14:textId="03E3DEDE" w:rsidR="00DC4EA2" w:rsidRPr="00DC4EA2" w:rsidRDefault="00DC4EA2" w:rsidP="00087827">
            <w:pPr>
              <w:rPr>
                <w:rFonts w:ascii="Garamond" w:hAnsi="Garamond"/>
                <w:b/>
                <w:bCs/>
                <w:sz w:val="24"/>
                <w:szCs w:val="24"/>
              </w:rPr>
            </w:pPr>
          </w:p>
        </w:tc>
      </w:tr>
      <w:tr w:rsidR="00087827" w:rsidRPr="00604664" w14:paraId="73AC3BE5" w14:textId="77777777" w:rsidTr="00C66D09">
        <w:tc>
          <w:tcPr>
            <w:tcW w:w="1885" w:type="dxa"/>
          </w:tcPr>
          <w:p w14:paraId="2AE6EFB8" w14:textId="03CAADAC" w:rsidR="00087827" w:rsidRPr="00DC4EA2" w:rsidRDefault="00087827" w:rsidP="00087827">
            <w:pPr>
              <w:rPr>
                <w:rFonts w:ascii="Garamond" w:hAnsi="Garamond"/>
                <w:b/>
                <w:bCs/>
                <w:sz w:val="24"/>
                <w:szCs w:val="24"/>
              </w:rPr>
            </w:pPr>
          </w:p>
        </w:tc>
        <w:tc>
          <w:tcPr>
            <w:tcW w:w="7465" w:type="dxa"/>
          </w:tcPr>
          <w:p w14:paraId="1E1619A3"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How do I find and analyze memoirs and oral histories?</w:t>
            </w:r>
          </w:p>
          <w:p w14:paraId="7887253B" w14:textId="478395C9" w:rsidR="007117E6" w:rsidRPr="00DC4EA2" w:rsidRDefault="007117E6" w:rsidP="00087827">
            <w:pPr>
              <w:rPr>
                <w:rFonts w:ascii="Garamond" w:hAnsi="Garamond"/>
                <w:b/>
                <w:bCs/>
                <w:sz w:val="24"/>
                <w:szCs w:val="24"/>
              </w:rPr>
            </w:pPr>
          </w:p>
        </w:tc>
      </w:tr>
      <w:tr w:rsidR="00087827" w:rsidRPr="00604664" w14:paraId="713F0612" w14:textId="77777777" w:rsidTr="00C66D09">
        <w:tc>
          <w:tcPr>
            <w:tcW w:w="1885" w:type="dxa"/>
          </w:tcPr>
          <w:p w14:paraId="3182BCF3" w14:textId="5520AB52" w:rsidR="00087827" w:rsidRPr="00DC4EA2" w:rsidRDefault="00087827" w:rsidP="00087827">
            <w:pPr>
              <w:rPr>
                <w:rFonts w:ascii="Garamond" w:hAnsi="Garamond"/>
                <w:b/>
                <w:bCs/>
                <w:sz w:val="24"/>
                <w:szCs w:val="24"/>
              </w:rPr>
            </w:pPr>
            <w:r w:rsidRPr="00DC4EA2">
              <w:rPr>
                <w:rFonts w:ascii="Garamond" w:hAnsi="Garamond"/>
                <w:b/>
                <w:bCs/>
                <w:sz w:val="24"/>
                <w:szCs w:val="24"/>
              </w:rPr>
              <w:t>April 24</w:t>
            </w:r>
          </w:p>
        </w:tc>
        <w:tc>
          <w:tcPr>
            <w:tcW w:w="7465" w:type="dxa"/>
          </w:tcPr>
          <w:p w14:paraId="2F2A1C2F"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Case selection and comparative method</w:t>
            </w:r>
          </w:p>
          <w:p w14:paraId="7F977A62" w14:textId="36BA9670" w:rsidR="00DC4EA2" w:rsidRPr="00DC4EA2" w:rsidRDefault="00DC4EA2" w:rsidP="00087827">
            <w:pPr>
              <w:rPr>
                <w:rFonts w:ascii="Garamond" w:hAnsi="Garamond"/>
                <w:b/>
                <w:bCs/>
                <w:sz w:val="24"/>
                <w:szCs w:val="24"/>
              </w:rPr>
            </w:pPr>
          </w:p>
        </w:tc>
      </w:tr>
      <w:tr w:rsidR="00087827" w:rsidRPr="00604664" w14:paraId="269BF00E" w14:textId="77777777" w:rsidTr="00C66D09">
        <w:tc>
          <w:tcPr>
            <w:tcW w:w="1885" w:type="dxa"/>
          </w:tcPr>
          <w:p w14:paraId="19D8E624" w14:textId="117544F4" w:rsidR="00087827" w:rsidRPr="00DC4EA2" w:rsidRDefault="00087827" w:rsidP="00087827">
            <w:pPr>
              <w:rPr>
                <w:rFonts w:ascii="Garamond" w:hAnsi="Garamond"/>
                <w:b/>
                <w:bCs/>
                <w:sz w:val="24"/>
                <w:szCs w:val="24"/>
              </w:rPr>
            </w:pPr>
          </w:p>
        </w:tc>
        <w:tc>
          <w:tcPr>
            <w:tcW w:w="7465" w:type="dxa"/>
          </w:tcPr>
          <w:p w14:paraId="129708F0"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How do I use digital databases?</w:t>
            </w:r>
          </w:p>
          <w:p w14:paraId="3101A176" w14:textId="50E23EFB" w:rsidR="007117E6" w:rsidRPr="00DC4EA2" w:rsidRDefault="007117E6" w:rsidP="00087827">
            <w:pPr>
              <w:rPr>
                <w:rFonts w:ascii="Garamond" w:hAnsi="Garamond"/>
                <w:b/>
                <w:bCs/>
                <w:sz w:val="24"/>
                <w:szCs w:val="24"/>
              </w:rPr>
            </w:pPr>
          </w:p>
        </w:tc>
      </w:tr>
      <w:tr w:rsidR="00087827" w:rsidRPr="00604664" w14:paraId="72B73588" w14:textId="77777777" w:rsidTr="00C66D09">
        <w:tc>
          <w:tcPr>
            <w:tcW w:w="1885" w:type="dxa"/>
          </w:tcPr>
          <w:p w14:paraId="475507CD" w14:textId="61595B34" w:rsidR="00087827" w:rsidRPr="00DC4EA2" w:rsidRDefault="00087827" w:rsidP="00087827">
            <w:pPr>
              <w:rPr>
                <w:rFonts w:ascii="Garamond" w:hAnsi="Garamond"/>
                <w:b/>
                <w:bCs/>
                <w:sz w:val="24"/>
                <w:szCs w:val="24"/>
              </w:rPr>
            </w:pPr>
            <w:r w:rsidRPr="00DC4EA2">
              <w:rPr>
                <w:rFonts w:ascii="Garamond" w:hAnsi="Garamond"/>
                <w:b/>
                <w:bCs/>
                <w:sz w:val="24"/>
                <w:szCs w:val="24"/>
              </w:rPr>
              <w:t>May 1</w:t>
            </w:r>
          </w:p>
        </w:tc>
        <w:tc>
          <w:tcPr>
            <w:tcW w:w="7465" w:type="dxa"/>
          </w:tcPr>
          <w:p w14:paraId="63B0C436" w14:textId="77777777" w:rsidR="00087827" w:rsidRPr="00DC4EA2" w:rsidRDefault="00087827" w:rsidP="00087827">
            <w:pPr>
              <w:rPr>
                <w:rFonts w:ascii="Garamond" w:hAnsi="Garamond"/>
                <w:b/>
                <w:bCs/>
                <w:sz w:val="24"/>
                <w:szCs w:val="24"/>
              </w:rPr>
            </w:pPr>
            <w:r w:rsidRPr="00DC4EA2">
              <w:rPr>
                <w:rFonts w:ascii="Garamond" w:hAnsi="Garamond"/>
                <w:b/>
                <w:bCs/>
                <w:sz w:val="24"/>
                <w:szCs w:val="24"/>
              </w:rPr>
              <w:t>Within-case analysis</w:t>
            </w:r>
          </w:p>
          <w:p w14:paraId="24191E96" w14:textId="7D87F436" w:rsidR="00DC4EA2" w:rsidRPr="00DC4EA2" w:rsidRDefault="00DC4EA2" w:rsidP="00087827">
            <w:pPr>
              <w:rPr>
                <w:rFonts w:ascii="Garamond" w:hAnsi="Garamond"/>
                <w:b/>
                <w:bCs/>
                <w:sz w:val="24"/>
                <w:szCs w:val="24"/>
              </w:rPr>
            </w:pPr>
          </w:p>
        </w:tc>
      </w:tr>
      <w:tr w:rsidR="00087827" w:rsidRPr="00604664" w14:paraId="76547A19" w14:textId="77777777" w:rsidTr="00C66D09">
        <w:tc>
          <w:tcPr>
            <w:tcW w:w="1885" w:type="dxa"/>
          </w:tcPr>
          <w:p w14:paraId="798DA8D3" w14:textId="5AE2F139" w:rsidR="00087827" w:rsidRPr="00DC4EA2" w:rsidRDefault="00087827" w:rsidP="00087827">
            <w:pPr>
              <w:rPr>
                <w:rFonts w:ascii="Garamond" w:hAnsi="Garamond"/>
                <w:b/>
                <w:bCs/>
                <w:sz w:val="24"/>
                <w:szCs w:val="24"/>
              </w:rPr>
            </w:pPr>
          </w:p>
        </w:tc>
        <w:tc>
          <w:tcPr>
            <w:tcW w:w="7465" w:type="dxa"/>
          </w:tcPr>
          <w:p w14:paraId="4A92A1C2" w14:textId="77777777" w:rsidR="00087827" w:rsidRPr="00DC4EA2" w:rsidRDefault="00087827" w:rsidP="00087827">
            <w:pPr>
              <w:spacing w:after="160" w:line="259" w:lineRule="auto"/>
              <w:rPr>
                <w:rFonts w:ascii="Garamond" w:hAnsi="Garamond"/>
                <w:b/>
                <w:bCs/>
                <w:sz w:val="24"/>
                <w:szCs w:val="24"/>
              </w:rPr>
            </w:pPr>
            <w:r w:rsidRPr="00DC4EA2">
              <w:rPr>
                <w:rFonts w:ascii="Garamond" w:hAnsi="Garamond"/>
                <w:b/>
                <w:bCs/>
                <w:sz w:val="24"/>
                <w:szCs w:val="24"/>
              </w:rPr>
              <w:t>How should I organize my research?</w:t>
            </w:r>
          </w:p>
        </w:tc>
      </w:tr>
    </w:tbl>
    <w:p w14:paraId="48E83E05" w14:textId="77777777" w:rsidR="00016483" w:rsidRPr="00870100" w:rsidRDefault="00016483" w:rsidP="00A06442">
      <w:pPr>
        <w:rPr>
          <w:rFonts w:ascii="Garamond" w:hAnsi="Garamond" w:cstheme="minorHAnsi"/>
          <w:sz w:val="24"/>
          <w:szCs w:val="24"/>
        </w:rPr>
      </w:pPr>
    </w:p>
    <w:p w14:paraId="2E9BD757" w14:textId="09147BAB" w:rsidR="008B46D1" w:rsidRDefault="001F71B5" w:rsidP="001F71B5">
      <w:pPr>
        <w:spacing w:line="240" w:lineRule="auto"/>
        <w:contextualSpacing/>
        <w:rPr>
          <w:rFonts w:ascii="Garamond" w:hAnsi="Garamond" w:cs="Times New Roman"/>
          <w:b/>
          <w:i/>
          <w:sz w:val="24"/>
          <w:szCs w:val="24"/>
        </w:rPr>
      </w:pPr>
      <w:r w:rsidRPr="00870100">
        <w:rPr>
          <w:rFonts w:ascii="Garamond" w:hAnsi="Garamond" w:cs="Times New Roman"/>
          <w:b/>
          <w:i/>
          <w:sz w:val="24"/>
          <w:szCs w:val="24"/>
        </w:rPr>
        <w:t xml:space="preserve">January 23: </w:t>
      </w:r>
    </w:p>
    <w:p w14:paraId="4F76511C" w14:textId="77777777" w:rsidR="00016483" w:rsidRDefault="00016483" w:rsidP="00016483">
      <w:pPr>
        <w:spacing w:line="240" w:lineRule="auto"/>
        <w:contextualSpacing/>
        <w:rPr>
          <w:rFonts w:ascii="Garamond" w:hAnsi="Garamond" w:cs="Times New Roman"/>
          <w:b/>
          <w:bCs/>
          <w:i/>
          <w:iCs/>
          <w:sz w:val="24"/>
          <w:szCs w:val="24"/>
        </w:rPr>
      </w:pPr>
    </w:p>
    <w:p w14:paraId="2C06679C" w14:textId="1E2368C0" w:rsidR="00016483" w:rsidRPr="00661BB8" w:rsidRDefault="00016483" w:rsidP="00016483">
      <w:pPr>
        <w:spacing w:line="240" w:lineRule="auto"/>
        <w:contextualSpacing/>
        <w:rPr>
          <w:rFonts w:ascii="Garamond" w:hAnsi="Garamond" w:cs="Times New Roman"/>
          <w:b/>
          <w:bCs/>
          <w:i/>
          <w:iCs/>
          <w:sz w:val="24"/>
          <w:szCs w:val="24"/>
        </w:rPr>
      </w:pPr>
      <w:r w:rsidRPr="00661BB8">
        <w:rPr>
          <w:rFonts w:ascii="Garamond" w:hAnsi="Garamond" w:cs="Times New Roman"/>
          <w:b/>
          <w:bCs/>
          <w:i/>
          <w:iCs/>
          <w:sz w:val="24"/>
          <w:szCs w:val="24"/>
        </w:rPr>
        <w:t>Ethics and positionality</w:t>
      </w:r>
    </w:p>
    <w:p w14:paraId="0CC1A238" w14:textId="77777777" w:rsidR="00016483" w:rsidRPr="00661BB8" w:rsidRDefault="00016483" w:rsidP="00016483">
      <w:pPr>
        <w:spacing w:line="240" w:lineRule="auto"/>
        <w:contextualSpacing/>
        <w:rPr>
          <w:rFonts w:ascii="Garamond" w:hAnsi="Garamond" w:cs="Times New Roman"/>
          <w:b/>
          <w:bCs/>
          <w:sz w:val="24"/>
          <w:szCs w:val="24"/>
        </w:rPr>
      </w:pPr>
    </w:p>
    <w:p w14:paraId="7B78E9F3" w14:textId="77777777" w:rsidR="00016483" w:rsidRPr="00661BB8" w:rsidRDefault="00016483" w:rsidP="00016483">
      <w:pPr>
        <w:spacing w:line="240" w:lineRule="auto"/>
        <w:contextualSpacing/>
        <w:rPr>
          <w:rFonts w:ascii="Garamond" w:hAnsi="Garamond" w:cs="Times New Roman"/>
          <w:b/>
          <w:bCs/>
          <w:sz w:val="24"/>
          <w:szCs w:val="24"/>
        </w:rPr>
      </w:pPr>
      <w:r w:rsidRPr="00661BB8">
        <w:rPr>
          <w:rFonts w:ascii="Garamond" w:hAnsi="Garamond" w:cs="Times New Roman"/>
          <w:b/>
          <w:bCs/>
          <w:sz w:val="24"/>
          <w:szCs w:val="24"/>
        </w:rPr>
        <w:lastRenderedPageBreak/>
        <w:t xml:space="preserve">Lee Ann Fujii, “Research Ethics 101: Dilemmas and Responsibilities,” </w:t>
      </w:r>
      <w:r w:rsidRPr="00661BB8">
        <w:rPr>
          <w:rFonts w:ascii="Garamond" w:hAnsi="Garamond" w:cs="Times New Roman"/>
          <w:b/>
          <w:bCs/>
          <w:i/>
          <w:iCs/>
          <w:sz w:val="24"/>
          <w:szCs w:val="24"/>
        </w:rPr>
        <w:t>PS: Political Science &amp; Politics</w:t>
      </w:r>
      <w:r w:rsidRPr="00661BB8">
        <w:rPr>
          <w:rFonts w:ascii="Garamond" w:hAnsi="Garamond" w:cs="Times New Roman"/>
          <w:b/>
          <w:bCs/>
          <w:sz w:val="24"/>
          <w:szCs w:val="24"/>
        </w:rPr>
        <w:t xml:space="preserve"> 45, no. 4 (October 2012): 717–23. </w:t>
      </w:r>
    </w:p>
    <w:p w14:paraId="68B4048A" w14:textId="77777777" w:rsidR="00016483" w:rsidRPr="00661BB8" w:rsidRDefault="00016483" w:rsidP="00016483">
      <w:pPr>
        <w:spacing w:line="240" w:lineRule="auto"/>
        <w:contextualSpacing/>
        <w:rPr>
          <w:rFonts w:ascii="Garamond" w:hAnsi="Garamond" w:cs="Times New Roman"/>
          <w:b/>
          <w:bCs/>
          <w:sz w:val="24"/>
          <w:szCs w:val="24"/>
        </w:rPr>
      </w:pPr>
    </w:p>
    <w:p w14:paraId="5D1F064F" w14:textId="77777777" w:rsidR="00016483" w:rsidRPr="00661BB8" w:rsidRDefault="00016483" w:rsidP="00016483">
      <w:pPr>
        <w:spacing w:line="240" w:lineRule="auto"/>
        <w:contextualSpacing/>
        <w:rPr>
          <w:rFonts w:ascii="Garamond" w:hAnsi="Garamond" w:cs="Times New Roman"/>
          <w:b/>
          <w:bCs/>
          <w:sz w:val="24"/>
          <w:szCs w:val="24"/>
        </w:rPr>
      </w:pPr>
      <w:r w:rsidRPr="00661BB8">
        <w:rPr>
          <w:rFonts w:ascii="Garamond" w:hAnsi="Garamond" w:cs="Times New Roman"/>
          <w:b/>
          <w:bCs/>
          <w:sz w:val="24"/>
          <w:szCs w:val="24"/>
        </w:rPr>
        <w:t xml:space="preserve">Kate Cronin-Furman and Milli Lake, “Ethics Abroad: Fieldwork in Fragile and Violent Contexts,” </w:t>
      </w:r>
      <w:r w:rsidRPr="00661BB8">
        <w:rPr>
          <w:rFonts w:ascii="Garamond" w:hAnsi="Garamond" w:cs="Times New Roman"/>
          <w:b/>
          <w:bCs/>
          <w:i/>
          <w:iCs/>
          <w:sz w:val="24"/>
          <w:szCs w:val="24"/>
        </w:rPr>
        <w:t>PS: Political Science &amp; Politics</w:t>
      </w:r>
      <w:r w:rsidRPr="00661BB8">
        <w:rPr>
          <w:rFonts w:ascii="Garamond" w:hAnsi="Garamond" w:cs="Times New Roman"/>
          <w:b/>
          <w:bCs/>
          <w:sz w:val="24"/>
          <w:szCs w:val="24"/>
        </w:rPr>
        <w:t xml:space="preserve"> 51, no. 3 (July 2018): 607–14.</w:t>
      </w:r>
    </w:p>
    <w:p w14:paraId="0A41FF49" w14:textId="77777777" w:rsidR="00016483" w:rsidRPr="00661BB8" w:rsidRDefault="00016483" w:rsidP="00016483">
      <w:pPr>
        <w:spacing w:line="240" w:lineRule="auto"/>
        <w:contextualSpacing/>
        <w:rPr>
          <w:rFonts w:ascii="Garamond" w:hAnsi="Garamond" w:cs="Times New Roman"/>
          <w:b/>
          <w:bCs/>
          <w:sz w:val="24"/>
          <w:szCs w:val="24"/>
        </w:rPr>
      </w:pPr>
    </w:p>
    <w:p w14:paraId="20EB4D4B" w14:textId="18C4A29A" w:rsidR="00016483" w:rsidRPr="00661BB8" w:rsidRDefault="00016483" w:rsidP="00016483">
      <w:pPr>
        <w:spacing w:line="240" w:lineRule="auto"/>
        <w:contextualSpacing/>
        <w:rPr>
          <w:rFonts w:ascii="Garamond" w:hAnsi="Garamond" w:cs="Times New Roman"/>
          <w:b/>
          <w:bCs/>
          <w:sz w:val="24"/>
          <w:szCs w:val="24"/>
        </w:rPr>
      </w:pPr>
      <w:r w:rsidRPr="00661BB8">
        <w:rPr>
          <w:rFonts w:ascii="Garamond" w:hAnsi="Garamond" w:cs="Times New Roman"/>
          <w:b/>
          <w:bCs/>
          <w:sz w:val="24"/>
          <w:szCs w:val="24"/>
        </w:rPr>
        <w:t>Jelena Suboti</w:t>
      </w:r>
      <w:r w:rsidR="00352E19" w:rsidRPr="00352E19">
        <w:rPr>
          <w:rFonts w:ascii="Garamond" w:hAnsi="Garamond" w:cs="Times New Roman"/>
          <w:b/>
          <w:bCs/>
          <w:sz w:val="24"/>
          <w:szCs w:val="24"/>
        </w:rPr>
        <w:t>ć</w:t>
      </w:r>
      <w:r w:rsidRPr="00661BB8">
        <w:rPr>
          <w:rFonts w:ascii="Garamond" w:hAnsi="Garamond" w:cs="Times New Roman"/>
          <w:b/>
          <w:bCs/>
          <w:sz w:val="24"/>
          <w:szCs w:val="24"/>
        </w:rPr>
        <w:t xml:space="preserve">, “Ethics of Archival Research on Political Violence,” </w:t>
      </w:r>
      <w:r w:rsidRPr="00661BB8">
        <w:rPr>
          <w:rFonts w:ascii="Garamond" w:hAnsi="Garamond" w:cs="Times New Roman"/>
          <w:b/>
          <w:bCs/>
          <w:i/>
          <w:iCs/>
          <w:sz w:val="24"/>
          <w:szCs w:val="24"/>
        </w:rPr>
        <w:t>Journal of Peace Research</w:t>
      </w:r>
      <w:r w:rsidRPr="00661BB8">
        <w:rPr>
          <w:rFonts w:ascii="Garamond" w:hAnsi="Garamond" w:cs="Times New Roman"/>
          <w:b/>
          <w:bCs/>
          <w:sz w:val="24"/>
          <w:szCs w:val="24"/>
        </w:rPr>
        <w:t>, 58:3, (2021), 342</w:t>
      </w:r>
      <w:r w:rsidR="00352E19">
        <w:rPr>
          <w:rFonts w:ascii="Garamond" w:hAnsi="Garamond" w:cs="Times New Roman"/>
          <w:b/>
          <w:bCs/>
          <w:sz w:val="24"/>
          <w:szCs w:val="24"/>
        </w:rPr>
        <w:t>–</w:t>
      </w:r>
      <w:r w:rsidRPr="00661BB8">
        <w:rPr>
          <w:rFonts w:ascii="Garamond" w:hAnsi="Garamond" w:cs="Times New Roman"/>
          <w:b/>
          <w:bCs/>
          <w:sz w:val="24"/>
          <w:szCs w:val="24"/>
        </w:rPr>
        <w:t>354</w:t>
      </w:r>
      <w:r w:rsidR="00352E19">
        <w:rPr>
          <w:rFonts w:ascii="Garamond" w:hAnsi="Garamond" w:cs="Times New Roman"/>
          <w:b/>
          <w:bCs/>
          <w:sz w:val="24"/>
          <w:szCs w:val="24"/>
        </w:rPr>
        <w:t>.</w:t>
      </w:r>
    </w:p>
    <w:p w14:paraId="7E00EB71" w14:textId="545AF462" w:rsidR="00016483" w:rsidRPr="00661BB8" w:rsidRDefault="00016483" w:rsidP="00016483">
      <w:pPr>
        <w:pStyle w:val="Default"/>
        <w:rPr>
          <w:rFonts w:ascii="Garamond" w:hAnsi="Garamond"/>
          <w:b/>
          <w:bCs/>
        </w:rPr>
      </w:pPr>
      <w:r w:rsidRPr="00661BB8">
        <w:rPr>
          <w:rFonts w:ascii="Garamond" w:hAnsi="Garamond"/>
          <w:b/>
          <w:bCs/>
        </w:rPr>
        <w:t xml:space="preserve">Ann Tickner, </w:t>
      </w:r>
      <w:r w:rsidRPr="00661BB8">
        <w:rPr>
          <w:rFonts w:ascii="Garamond" w:hAnsi="Garamond" w:cs="Cambria"/>
          <w:b/>
          <w:bCs/>
        </w:rPr>
        <w:t>“</w:t>
      </w:r>
      <w:r w:rsidRPr="00661BB8">
        <w:rPr>
          <w:rFonts w:ascii="Garamond" w:hAnsi="Garamond"/>
          <w:b/>
          <w:bCs/>
        </w:rPr>
        <w:t>Feminism Meets International Relations: Some Methodological Issues</w:t>
      </w:r>
      <w:r w:rsidRPr="00661BB8">
        <w:rPr>
          <w:rFonts w:ascii="Garamond" w:hAnsi="Garamond" w:cs="Cambria"/>
          <w:b/>
          <w:bCs/>
        </w:rPr>
        <w:t xml:space="preserve">” </w:t>
      </w:r>
      <w:r w:rsidRPr="00661BB8">
        <w:rPr>
          <w:rFonts w:ascii="Garamond" w:hAnsi="Garamond"/>
          <w:b/>
          <w:bCs/>
        </w:rPr>
        <w:t xml:space="preserve">in </w:t>
      </w:r>
      <w:r w:rsidRPr="00661BB8">
        <w:rPr>
          <w:rFonts w:ascii="Garamond" w:hAnsi="Garamond"/>
          <w:b/>
          <w:bCs/>
          <w:i/>
          <w:iCs/>
        </w:rPr>
        <w:t>Feminist Methodologies for International Relations</w:t>
      </w:r>
      <w:r w:rsidRPr="00661BB8">
        <w:rPr>
          <w:rFonts w:ascii="Garamond" w:hAnsi="Garamond"/>
          <w:b/>
          <w:bCs/>
        </w:rPr>
        <w:t>, edited by B. A. Ackerly, M. Stern, and J. True</w:t>
      </w:r>
      <w:r w:rsidR="00A96125">
        <w:rPr>
          <w:rFonts w:ascii="Garamond" w:hAnsi="Garamond"/>
          <w:b/>
          <w:bCs/>
        </w:rPr>
        <w:t xml:space="preserve"> (</w:t>
      </w:r>
      <w:r w:rsidRPr="00661BB8">
        <w:rPr>
          <w:rFonts w:ascii="Garamond" w:hAnsi="Garamond"/>
          <w:b/>
          <w:bCs/>
        </w:rPr>
        <w:t>Cambridge: Cambridge University Press, 2006</w:t>
      </w:r>
      <w:r w:rsidR="00A96125">
        <w:rPr>
          <w:rFonts w:ascii="Garamond" w:hAnsi="Garamond"/>
          <w:b/>
          <w:bCs/>
        </w:rPr>
        <w:t>)</w:t>
      </w:r>
      <w:r w:rsidR="00352E19">
        <w:rPr>
          <w:rFonts w:ascii="Garamond" w:hAnsi="Garamond"/>
          <w:b/>
          <w:bCs/>
        </w:rPr>
        <w:t>.</w:t>
      </w:r>
      <w:r w:rsidRPr="00661BB8">
        <w:rPr>
          <w:rFonts w:ascii="Garamond" w:hAnsi="Garamond"/>
          <w:b/>
          <w:bCs/>
        </w:rPr>
        <w:t xml:space="preserve"> </w:t>
      </w:r>
    </w:p>
    <w:p w14:paraId="04554CE9" w14:textId="77777777" w:rsidR="00016483" w:rsidRPr="00661BB8" w:rsidRDefault="00016483" w:rsidP="00016483">
      <w:pPr>
        <w:spacing w:line="240" w:lineRule="auto"/>
        <w:contextualSpacing/>
        <w:rPr>
          <w:rFonts w:ascii="Garamond" w:hAnsi="Garamond" w:cs="Times New Roman"/>
          <w:b/>
          <w:bCs/>
          <w:sz w:val="24"/>
          <w:szCs w:val="24"/>
        </w:rPr>
      </w:pPr>
    </w:p>
    <w:p w14:paraId="577427B0" w14:textId="18920683" w:rsidR="00016483" w:rsidRDefault="00016483" w:rsidP="00016483">
      <w:pPr>
        <w:spacing w:line="240" w:lineRule="auto"/>
        <w:contextualSpacing/>
        <w:rPr>
          <w:rFonts w:ascii="Garamond" w:hAnsi="Garamond" w:cs="Times New Roman"/>
          <w:b/>
          <w:bCs/>
          <w:sz w:val="24"/>
          <w:szCs w:val="24"/>
        </w:rPr>
      </w:pPr>
      <w:r w:rsidRPr="00661BB8">
        <w:rPr>
          <w:rFonts w:ascii="Garamond" w:hAnsi="Garamond" w:cs="Times New Roman"/>
          <w:b/>
          <w:bCs/>
          <w:sz w:val="24"/>
          <w:szCs w:val="24"/>
        </w:rPr>
        <w:fldChar w:fldCharType="begin"/>
      </w:r>
      <w:r w:rsidR="00A96125">
        <w:rPr>
          <w:rFonts w:ascii="Garamond" w:hAnsi="Garamond" w:cs="Times New Roman"/>
          <w:b/>
          <w:bCs/>
          <w:sz w:val="24"/>
          <w:szCs w:val="24"/>
        </w:rPr>
        <w:instrText xml:space="preserve"> ADDIN ZOTERO_ITEM CSL_CITATION {"citationID":"fsRuDcfj","properties":{"formattedCitation":"Jessica Soedirgo and Aarie Glas, \\uc0\\u8220{}Toward Active Reflexivity: Positionality and Practice in the Production of Knowledge,\\uc0\\u8221{} {\\i{}PS: Political Science &amp; Politics} 53, no. 3 (July 2020): 527\\uc0\\u8211{}31.","plainCitation":"Jessica Soedirgo and Aarie Glas, “Toward Active Reflexivity: Positionality and Practice in the Production of Knowledge,” PS: Political Science &amp; Politics 53, no. 3 (July 2020): 527–31.","noteIndex":0},"citationItems":[{"id":13683,"uris":["http://zotero.org/users/4231237/items/V6RYFEEI"],"itemData":{"id":13683,"type":"article-journal","container-title":"PS: Political Science &amp; Politics","issue":"3","language":"en","page":"527-531","title":"Toward Active Reflexivity: Positionality and Practice in the Production of Knowledge","title-short":"Toward Active Reflexivity","volume":"53","author":[{"family":"Soedirgo","given":"Jessica"},{"family":"Glas","given":"Aarie"}],"issued":{"date-parts":[["2020",7]]}}}],"schema":"https://github.com/citation-style-language/schema/raw/master/csl-citation.json"} </w:instrText>
      </w:r>
      <w:r w:rsidRPr="00661BB8">
        <w:rPr>
          <w:rFonts w:ascii="Garamond" w:hAnsi="Garamond" w:cs="Times New Roman"/>
          <w:b/>
          <w:bCs/>
          <w:sz w:val="24"/>
          <w:szCs w:val="24"/>
        </w:rPr>
        <w:fldChar w:fldCharType="separate"/>
      </w:r>
      <w:r w:rsidRPr="00661BB8">
        <w:rPr>
          <w:rFonts w:ascii="Garamond" w:hAnsi="Garamond" w:cs="Times New Roman"/>
          <w:b/>
          <w:bCs/>
          <w:sz w:val="24"/>
          <w:szCs w:val="24"/>
        </w:rPr>
        <w:t xml:space="preserve">Jessica Soedirgo and Aarie Glas, “Toward Active Reflexivity: Positionality and Practice in the Production of Knowledge,” </w:t>
      </w:r>
      <w:r w:rsidRPr="00661BB8">
        <w:rPr>
          <w:rFonts w:ascii="Garamond" w:hAnsi="Garamond" w:cs="Times New Roman"/>
          <w:b/>
          <w:bCs/>
          <w:i/>
          <w:iCs/>
          <w:sz w:val="24"/>
          <w:szCs w:val="24"/>
        </w:rPr>
        <w:t>PS: Political Science &amp; Politics</w:t>
      </w:r>
      <w:r w:rsidRPr="00661BB8">
        <w:rPr>
          <w:rFonts w:ascii="Garamond" w:hAnsi="Garamond" w:cs="Times New Roman"/>
          <w:b/>
          <w:bCs/>
          <w:sz w:val="24"/>
          <w:szCs w:val="24"/>
        </w:rPr>
        <w:t xml:space="preserve"> 53, no. 3 (July 2020): 527–31.</w:t>
      </w:r>
      <w:r w:rsidRPr="00661BB8">
        <w:rPr>
          <w:rFonts w:ascii="Garamond" w:hAnsi="Garamond" w:cs="Times New Roman"/>
          <w:b/>
          <w:bCs/>
          <w:sz w:val="24"/>
          <w:szCs w:val="24"/>
        </w:rPr>
        <w:fldChar w:fldCharType="end"/>
      </w:r>
    </w:p>
    <w:p w14:paraId="4CBA55A8" w14:textId="03DEF479" w:rsidR="00991BD9" w:rsidRDefault="00991BD9" w:rsidP="00016483">
      <w:pPr>
        <w:spacing w:line="240" w:lineRule="auto"/>
        <w:contextualSpacing/>
        <w:rPr>
          <w:rFonts w:ascii="Garamond" w:hAnsi="Garamond" w:cs="Times New Roman"/>
          <w:sz w:val="24"/>
          <w:szCs w:val="24"/>
        </w:rPr>
      </w:pPr>
    </w:p>
    <w:p w14:paraId="36A80573" w14:textId="3910E0E9" w:rsidR="00991BD9" w:rsidRDefault="00991BD9" w:rsidP="00016483">
      <w:pPr>
        <w:spacing w:line="240" w:lineRule="auto"/>
        <w:contextualSpacing/>
        <w:rPr>
          <w:rFonts w:ascii="Garamond" w:hAnsi="Garamond" w:cs="Times New Roman"/>
          <w:sz w:val="24"/>
          <w:szCs w:val="24"/>
        </w:rPr>
      </w:pPr>
      <w:r>
        <w:rPr>
          <w:rFonts w:ascii="Garamond" w:hAnsi="Garamond" w:cs="Times New Roman"/>
          <w:sz w:val="24"/>
          <w:szCs w:val="24"/>
        </w:rPr>
        <w:t>OPTIONAL:</w:t>
      </w:r>
    </w:p>
    <w:p w14:paraId="74D88A3C" w14:textId="77777777" w:rsidR="00991BD9" w:rsidRDefault="00991BD9" w:rsidP="00016483">
      <w:pPr>
        <w:spacing w:line="240" w:lineRule="auto"/>
        <w:contextualSpacing/>
        <w:rPr>
          <w:rFonts w:ascii="Garamond" w:hAnsi="Garamond" w:cs="Times New Roman"/>
          <w:sz w:val="24"/>
          <w:szCs w:val="24"/>
        </w:rPr>
      </w:pPr>
    </w:p>
    <w:p w14:paraId="46F239C4" w14:textId="3271E4E8" w:rsidR="00991BD9" w:rsidRPr="00200490" w:rsidRDefault="00EE3492" w:rsidP="00016483">
      <w:pPr>
        <w:spacing w:line="240" w:lineRule="auto"/>
        <w:contextualSpacing/>
        <w:rPr>
          <w:rFonts w:ascii="Garamond" w:hAnsi="Garamond" w:cs="Times New Roman"/>
          <w:sz w:val="24"/>
          <w:szCs w:val="24"/>
        </w:rPr>
      </w:pPr>
      <w:r>
        <w:rPr>
          <w:rFonts w:ascii="Garamond" w:hAnsi="Garamond" w:cs="Times New Roman"/>
          <w:sz w:val="24"/>
          <w:szCs w:val="24"/>
        </w:rPr>
        <w:t>Maria Eriksson Baaz and Mats Utas, “Exploring the Backstage: Methodological and Ethical Issues Surrounding the Role of Research Brokers in Insecure Zones</w:t>
      </w:r>
      <w:r w:rsidR="00200490">
        <w:rPr>
          <w:rFonts w:ascii="Garamond" w:hAnsi="Garamond" w:cs="Times New Roman"/>
          <w:sz w:val="24"/>
          <w:szCs w:val="24"/>
        </w:rPr>
        <w:t>,</w:t>
      </w:r>
      <w:r>
        <w:rPr>
          <w:rFonts w:ascii="Garamond" w:hAnsi="Garamond" w:cs="Times New Roman"/>
          <w:sz w:val="24"/>
          <w:szCs w:val="24"/>
        </w:rPr>
        <w:t>”</w:t>
      </w:r>
      <w:r w:rsidR="00200490">
        <w:rPr>
          <w:rFonts w:ascii="Garamond" w:hAnsi="Garamond" w:cs="Times New Roman"/>
          <w:sz w:val="24"/>
          <w:szCs w:val="24"/>
        </w:rPr>
        <w:t xml:space="preserve"> </w:t>
      </w:r>
      <w:r w:rsidR="00200490">
        <w:rPr>
          <w:rFonts w:ascii="Garamond" w:hAnsi="Garamond" w:cs="Times New Roman"/>
          <w:i/>
          <w:iCs/>
          <w:sz w:val="24"/>
          <w:szCs w:val="24"/>
        </w:rPr>
        <w:t>Civil Wars</w:t>
      </w:r>
      <w:r w:rsidR="00200490">
        <w:rPr>
          <w:rFonts w:ascii="Garamond" w:hAnsi="Garamond" w:cs="Times New Roman"/>
          <w:sz w:val="24"/>
          <w:szCs w:val="24"/>
        </w:rPr>
        <w:t>, 21:2, (2019)</w:t>
      </w:r>
      <w:r w:rsidR="002B4B40">
        <w:rPr>
          <w:rFonts w:ascii="Garamond" w:hAnsi="Garamond" w:cs="Times New Roman"/>
          <w:sz w:val="24"/>
          <w:szCs w:val="24"/>
        </w:rPr>
        <w:t>, 157-178.</w:t>
      </w:r>
    </w:p>
    <w:p w14:paraId="4856299C" w14:textId="06D7ECC3" w:rsidR="001B1C19" w:rsidRDefault="00200490" w:rsidP="00016483">
      <w:pPr>
        <w:spacing w:line="240" w:lineRule="auto"/>
        <w:contextualSpacing/>
        <w:rPr>
          <w:rFonts w:ascii="Garamond" w:hAnsi="Garamond" w:cs="Times New Roman"/>
          <w:b/>
          <w:bCs/>
          <w:sz w:val="24"/>
          <w:szCs w:val="24"/>
        </w:rPr>
      </w:pPr>
      <w:r>
        <w:rPr>
          <w:rFonts w:ascii="Garamond" w:hAnsi="Garamond" w:cs="Times New Roman"/>
          <w:b/>
          <w:bCs/>
          <w:sz w:val="24"/>
          <w:szCs w:val="24"/>
        </w:rPr>
        <w:t xml:space="preserve"> </w:t>
      </w:r>
    </w:p>
    <w:p w14:paraId="72F76130" w14:textId="77777777" w:rsidR="001B1C19" w:rsidRPr="00661BB8" w:rsidRDefault="001B1C19" w:rsidP="001B1C19">
      <w:pPr>
        <w:spacing w:line="240" w:lineRule="auto"/>
        <w:contextualSpacing/>
        <w:rPr>
          <w:rFonts w:ascii="Garamond" w:hAnsi="Garamond" w:cs="Times New Roman"/>
          <w:b/>
          <w:i/>
          <w:sz w:val="24"/>
          <w:szCs w:val="24"/>
        </w:rPr>
      </w:pPr>
      <w:r w:rsidRPr="00661BB8">
        <w:rPr>
          <w:rFonts w:ascii="Garamond" w:hAnsi="Garamond" w:cs="Times New Roman"/>
          <w:b/>
          <w:i/>
          <w:sz w:val="24"/>
          <w:szCs w:val="24"/>
        </w:rPr>
        <w:t>How do I do an IRB?</w:t>
      </w:r>
    </w:p>
    <w:p w14:paraId="17586D12" w14:textId="77777777" w:rsidR="001B1C19" w:rsidRPr="00661BB8" w:rsidRDefault="001B1C19" w:rsidP="001B1C19">
      <w:pPr>
        <w:spacing w:line="240" w:lineRule="auto"/>
        <w:contextualSpacing/>
        <w:rPr>
          <w:rFonts w:ascii="Garamond" w:hAnsi="Garamond" w:cs="Times New Roman"/>
          <w:b/>
          <w:i/>
          <w:sz w:val="24"/>
          <w:szCs w:val="24"/>
        </w:rPr>
      </w:pPr>
    </w:p>
    <w:p w14:paraId="54D10D48" w14:textId="0A3B12B2" w:rsidR="001B1C19" w:rsidRDefault="001B1C19" w:rsidP="00016483">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Dvora Yanow and</w:t>
      </w:r>
      <w:r w:rsidRPr="00661BB8">
        <w:rPr>
          <w:b/>
        </w:rPr>
        <w:t xml:space="preserve"> </w:t>
      </w:r>
      <w:r w:rsidRPr="00661BB8">
        <w:rPr>
          <w:rFonts w:ascii="Garamond" w:hAnsi="Garamond" w:cs="Times New Roman"/>
          <w:b/>
          <w:iCs/>
          <w:sz w:val="24"/>
          <w:szCs w:val="24"/>
        </w:rPr>
        <w:t xml:space="preserve">Peregrine Schwartz-Shea , “Encountering Your IRB 2.0: What Political Scientists Need to Know,” </w:t>
      </w:r>
      <w:r w:rsidRPr="00661BB8">
        <w:rPr>
          <w:rFonts w:ascii="Garamond" w:hAnsi="Garamond" w:cs="Times New Roman"/>
          <w:b/>
          <w:i/>
          <w:sz w:val="24"/>
          <w:szCs w:val="24"/>
        </w:rPr>
        <w:t>PS: Political Science and Politics</w:t>
      </w:r>
      <w:r w:rsidRPr="00661BB8">
        <w:rPr>
          <w:rFonts w:ascii="Garamond" w:hAnsi="Garamond" w:cs="Times New Roman"/>
          <w:b/>
          <w:iCs/>
          <w:sz w:val="24"/>
          <w:szCs w:val="24"/>
        </w:rPr>
        <w:t xml:space="preserve"> 49</w:t>
      </w:r>
      <w:r>
        <w:rPr>
          <w:rFonts w:ascii="Garamond" w:hAnsi="Garamond" w:cs="Times New Roman"/>
          <w:b/>
          <w:iCs/>
          <w:sz w:val="24"/>
          <w:szCs w:val="24"/>
        </w:rPr>
        <w:t xml:space="preserve">, no. </w:t>
      </w:r>
      <w:r w:rsidRPr="00661BB8">
        <w:rPr>
          <w:rFonts w:ascii="Garamond" w:hAnsi="Garamond" w:cs="Times New Roman"/>
          <w:b/>
          <w:iCs/>
          <w:sz w:val="24"/>
          <w:szCs w:val="24"/>
        </w:rPr>
        <w:t>2</w:t>
      </w:r>
      <w:r>
        <w:rPr>
          <w:rFonts w:ascii="Garamond" w:hAnsi="Garamond" w:cs="Times New Roman"/>
          <w:b/>
          <w:iCs/>
          <w:sz w:val="24"/>
          <w:szCs w:val="24"/>
        </w:rPr>
        <w:t xml:space="preserve"> (</w:t>
      </w:r>
      <w:r w:rsidRPr="00661BB8">
        <w:rPr>
          <w:rFonts w:ascii="Garamond" w:hAnsi="Garamond" w:cs="Times New Roman"/>
          <w:b/>
          <w:iCs/>
          <w:sz w:val="24"/>
          <w:szCs w:val="24"/>
        </w:rPr>
        <w:t>April 2016</w:t>
      </w:r>
      <w:r>
        <w:rPr>
          <w:rFonts w:ascii="Garamond" w:hAnsi="Garamond" w:cs="Times New Roman"/>
          <w:b/>
          <w:iCs/>
          <w:sz w:val="24"/>
          <w:szCs w:val="24"/>
        </w:rPr>
        <w:t xml:space="preserve">): </w:t>
      </w:r>
      <w:r w:rsidRPr="00661BB8">
        <w:rPr>
          <w:rFonts w:ascii="Garamond" w:hAnsi="Garamond" w:cs="Times New Roman"/>
          <w:b/>
          <w:iCs/>
          <w:sz w:val="24"/>
          <w:szCs w:val="24"/>
        </w:rPr>
        <w:t>277</w:t>
      </w:r>
      <w:r>
        <w:rPr>
          <w:rFonts w:ascii="Garamond" w:hAnsi="Garamond" w:cs="Times New Roman"/>
          <w:b/>
          <w:iCs/>
          <w:sz w:val="24"/>
          <w:szCs w:val="24"/>
        </w:rPr>
        <w:t>–</w:t>
      </w:r>
      <w:r w:rsidRPr="00661BB8">
        <w:rPr>
          <w:rFonts w:ascii="Garamond" w:hAnsi="Garamond" w:cs="Times New Roman"/>
          <w:b/>
          <w:iCs/>
          <w:sz w:val="24"/>
          <w:szCs w:val="24"/>
        </w:rPr>
        <w:t>86</w:t>
      </w:r>
      <w:r>
        <w:rPr>
          <w:rFonts w:ascii="Garamond" w:hAnsi="Garamond" w:cs="Times New Roman"/>
          <w:b/>
          <w:iCs/>
          <w:sz w:val="24"/>
          <w:szCs w:val="24"/>
        </w:rPr>
        <w:t>.</w:t>
      </w:r>
    </w:p>
    <w:p w14:paraId="662557E6" w14:textId="77777777" w:rsidR="001B1C19" w:rsidRPr="001B1C19" w:rsidRDefault="001B1C19" w:rsidP="00016483">
      <w:pPr>
        <w:spacing w:line="240" w:lineRule="auto"/>
        <w:contextualSpacing/>
        <w:rPr>
          <w:rFonts w:ascii="Garamond" w:hAnsi="Garamond" w:cs="Times New Roman"/>
          <w:b/>
          <w:iCs/>
          <w:sz w:val="24"/>
          <w:szCs w:val="24"/>
        </w:rPr>
      </w:pPr>
    </w:p>
    <w:p w14:paraId="71D8FA47" w14:textId="77777777" w:rsidR="00016483" w:rsidRPr="00870100" w:rsidRDefault="00016483" w:rsidP="001F71B5">
      <w:pPr>
        <w:spacing w:line="240" w:lineRule="auto"/>
        <w:contextualSpacing/>
        <w:rPr>
          <w:rFonts w:ascii="Garamond" w:hAnsi="Garamond" w:cs="Times New Roman"/>
          <w:b/>
          <w:i/>
          <w:sz w:val="24"/>
          <w:szCs w:val="24"/>
        </w:rPr>
      </w:pPr>
    </w:p>
    <w:p w14:paraId="56269CEF" w14:textId="7C723CB7" w:rsidR="008B46D1" w:rsidRPr="00870100" w:rsidRDefault="00016483" w:rsidP="001F71B5">
      <w:pPr>
        <w:spacing w:line="240" w:lineRule="auto"/>
        <w:contextualSpacing/>
        <w:rPr>
          <w:rFonts w:ascii="Garamond" w:hAnsi="Garamond" w:cs="Times New Roman"/>
          <w:b/>
          <w:i/>
          <w:sz w:val="24"/>
          <w:szCs w:val="24"/>
        </w:rPr>
      </w:pPr>
      <w:r w:rsidRPr="00870100">
        <w:rPr>
          <w:rFonts w:ascii="Garamond" w:hAnsi="Garamond" w:cs="Times New Roman"/>
          <w:b/>
          <w:i/>
          <w:sz w:val="24"/>
          <w:szCs w:val="24"/>
        </w:rPr>
        <w:t>January 30:</w:t>
      </w:r>
    </w:p>
    <w:p w14:paraId="5B060AC0" w14:textId="77777777" w:rsidR="00016483" w:rsidRDefault="00016483" w:rsidP="00526FD9">
      <w:pPr>
        <w:spacing w:line="240" w:lineRule="auto"/>
        <w:contextualSpacing/>
        <w:rPr>
          <w:rFonts w:ascii="Garamond" w:hAnsi="Garamond" w:cs="Times New Roman"/>
          <w:b/>
          <w:i/>
          <w:sz w:val="24"/>
          <w:szCs w:val="24"/>
        </w:rPr>
      </w:pPr>
    </w:p>
    <w:p w14:paraId="21C26CA3" w14:textId="0BB28787" w:rsidR="00526FD9" w:rsidRPr="00476F75" w:rsidRDefault="002B1DA2" w:rsidP="00526FD9">
      <w:pPr>
        <w:spacing w:line="240" w:lineRule="auto"/>
        <w:contextualSpacing/>
        <w:rPr>
          <w:rFonts w:ascii="Garamond" w:hAnsi="Garamond" w:cs="Times New Roman"/>
          <w:b/>
          <w:i/>
          <w:sz w:val="24"/>
          <w:szCs w:val="24"/>
        </w:rPr>
      </w:pPr>
      <w:r w:rsidRPr="00476F75">
        <w:rPr>
          <w:rFonts w:ascii="Garamond" w:hAnsi="Garamond" w:cs="Times New Roman"/>
          <w:b/>
          <w:i/>
          <w:sz w:val="24"/>
          <w:szCs w:val="24"/>
        </w:rPr>
        <w:t>O</w:t>
      </w:r>
      <w:r w:rsidR="00526FD9" w:rsidRPr="00476F75">
        <w:rPr>
          <w:rFonts w:ascii="Garamond" w:hAnsi="Garamond" w:cs="Times New Roman"/>
          <w:b/>
          <w:i/>
          <w:sz w:val="24"/>
          <w:szCs w:val="24"/>
        </w:rPr>
        <w:t>ntology</w:t>
      </w:r>
    </w:p>
    <w:p w14:paraId="3ACE5B31" w14:textId="77777777" w:rsidR="00526FD9" w:rsidRPr="00476F75" w:rsidRDefault="00526FD9" w:rsidP="00526FD9">
      <w:pPr>
        <w:spacing w:line="240" w:lineRule="auto"/>
        <w:contextualSpacing/>
        <w:rPr>
          <w:rFonts w:ascii="Garamond" w:hAnsi="Garamond" w:cs="Times New Roman"/>
          <w:b/>
          <w:i/>
          <w:sz w:val="24"/>
          <w:szCs w:val="24"/>
        </w:rPr>
      </w:pPr>
    </w:p>
    <w:p w14:paraId="248C0F01" w14:textId="26B99491" w:rsidR="00526FD9" w:rsidRPr="00476F75" w:rsidRDefault="00526FD9" w:rsidP="00526FD9">
      <w:pPr>
        <w:spacing w:line="240" w:lineRule="auto"/>
        <w:contextualSpacing/>
        <w:rPr>
          <w:rFonts w:ascii="Garamond" w:hAnsi="Garamond" w:cs="Times New Roman"/>
          <w:b/>
          <w:iCs/>
          <w:sz w:val="24"/>
          <w:szCs w:val="24"/>
        </w:rPr>
      </w:pPr>
      <w:r w:rsidRPr="00476F75">
        <w:rPr>
          <w:rFonts w:ascii="Garamond" w:hAnsi="Garamond" w:cs="Times New Roman"/>
          <w:b/>
          <w:iCs/>
          <w:sz w:val="24"/>
          <w:szCs w:val="24"/>
        </w:rPr>
        <w:t xml:space="preserve">Thomas S. Kuhn, </w:t>
      </w:r>
      <w:r w:rsidRPr="00476F75">
        <w:rPr>
          <w:rFonts w:ascii="Garamond" w:hAnsi="Garamond" w:cs="Times New Roman"/>
          <w:b/>
          <w:i/>
          <w:iCs/>
          <w:sz w:val="24"/>
          <w:szCs w:val="24"/>
        </w:rPr>
        <w:t>The Structure of Scientific Revolutions</w:t>
      </w:r>
      <w:r w:rsidRPr="00476F75">
        <w:rPr>
          <w:rFonts w:ascii="Garamond" w:hAnsi="Garamond" w:cs="Times New Roman"/>
          <w:b/>
          <w:iCs/>
          <w:sz w:val="24"/>
          <w:szCs w:val="24"/>
        </w:rPr>
        <w:t>, 3rd ed. (Chicago: The University of Chicago, 1996)</w:t>
      </w:r>
      <w:r w:rsidR="00A96125">
        <w:rPr>
          <w:rFonts w:ascii="Garamond" w:hAnsi="Garamond" w:cs="Times New Roman"/>
          <w:b/>
          <w:iCs/>
          <w:sz w:val="24"/>
          <w:szCs w:val="24"/>
        </w:rPr>
        <w:t>.</w:t>
      </w:r>
      <w:r w:rsidRPr="00476F75">
        <w:rPr>
          <w:rFonts w:ascii="Garamond" w:hAnsi="Garamond" w:cs="Times New Roman"/>
          <w:b/>
          <w:iCs/>
          <w:sz w:val="24"/>
          <w:szCs w:val="24"/>
        </w:rPr>
        <w:t xml:space="preserve"> </w:t>
      </w:r>
      <w:r w:rsidR="00A96125">
        <w:rPr>
          <w:rFonts w:ascii="Garamond" w:hAnsi="Garamond" w:cs="Times New Roman"/>
          <w:b/>
          <w:iCs/>
          <w:sz w:val="24"/>
          <w:szCs w:val="24"/>
        </w:rPr>
        <w:t>C</w:t>
      </w:r>
      <w:r w:rsidRPr="00476F75">
        <w:rPr>
          <w:rFonts w:ascii="Garamond" w:hAnsi="Garamond" w:cs="Times New Roman"/>
          <w:b/>
          <w:iCs/>
          <w:sz w:val="24"/>
          <w:szCs w:val="24"/>
        </w:rPr>
        <w:t>hapters 2, 3, 9, and 10</w:t>
      </w:r>
      <w:r w:rsidR="00352E19">
        <w:rPr>
          <w:rFonts w:ascii="Garamond" w:hAnsi="Garamond" w:cs="Times New Roman"/>
          <w:b/>
          <w:iCs/>
          <w:sz w:val="24"/>
          <w:szCs w:val="24"/>
        </w:rPr>
        <w:t xml:space="preserve">. </w:t>
      </w:r>
    </w:p>
    <w:p w14:paraId="2C285ED3" w14:textId="77777777" w:rsidR="00526FD9" w:rsidRPr="00476F75" w:rsidRDefault="00526FD9" w:rsidP="00526FD9">
      <w:pPr>
        <w:spacing w:line="240" w:lineRule="auto"/>
        <w:contextualSpacing/>
        <w:rPr>
          <w:rFonts w:ascii="Garamond" w:hAnsi="Garamond" w:cs="Times New Roman"/>
          <w:b/>
          <w:iCs/>
          <w:sz w:val="24"/>
          <w:szCs w:val="24"/>
        </w:rPr>
      </w:pPr>
    </w:p>
    <w:p w14:paraId="23CA86BE" w14:textId="405E2ABE" w:rsidR="00526FD9" w:rsidRPr="00476F75" w:rsidRDefault="00526FD9" w:rsidP="00526FD9">
      <w:pPr>
        <w:spacing w:line="240" w:lineRule="auto"/>
        <w:contextualSpacing/>
        <w:rPr>
          <w:rFonts w:ascii="Garamond" w:hAnsi="Garamond" w:cs="Times New Roman"/>
          <w:b/>
          <w:iCs/>
          <w:sz w:val="24"/>
          <w:szCs w:val="24"/>
        </w:rPr>
      </w:pPr>
      <w:r w:rsidRPr="00476F75">
        <w:rPr>
          <w:rFonts w:ascii="Garamond" w:hAnsi="Garamond" w:cs="Times New Roman"/>
          <w:b/>
          <w:iCs/>
          <w:sz w:val="24"/>
          <w:szCs w:val="24"/>
        </w:rPr>
        <w:t xml:space="preserve">Karl Popper, “Normal Science and Its Dangers,” in </w:t>
      </w:r>
      <w:r w:rsidRPr="00476F75">
        <w:rPr>
          <w:rFonts w:ascii="Garamond" w:hAnsi="Garamond" w:cs="Times New Roman"/>
          <w:b/>
          <w:i/>
          <w:sz w:val="24"/>
          <w:szCs w:val="24"/>
        </w:rPr>
        <w:t>Criticism and the Growth of Knowledge</w:t>
      </w:r>
      <w:r w:rsidRPr="00476F75">
        <w:rPr>
          <w:rFonts w:ascii="Garamond" w:hAnsi="Garamond" w:cs="Times New Roman"/>
          <w:b/>
          <w:iCs/>
          <w:sz w:val="24"/>
          <w:szCs w:val="24"/>
        </w:rPr>
        <w:t>, eds. Imre Lakatos and Alan Musgrave</w:t>
      </w:r>
      <w:r w:rsidR="00A96125">
        <w:rPr>
          <w:rFonts w:ascii="Garamond" w:hAnsi="Garamond" w:cs="Times New Roman"/>
          <w:b/>
          <w:iCs/>
          <w:sz w:val="24"/>
          <w:szCs w:val="24"/>
        </w:rPr>
        <w:t xml:space="preserve"> (</w:t>
      </w:r>
      <w:r w:rsidRPr="00476F75">
        <w:rPr>
          <w:rFonts w:ascii="Garamond" w:hAnsi="Garamond" w:cs="Times New Roman"/>
          <w:b/>
          <w:iCs/>
          <w:sz w:val="24"/>
          <w:szCs w:val="24"/>
        </w:rPr>
        <w:t>Cambridge: Cambridge University Press, 1970</w:t>
      </w:r>
      <w:r w:rsidR="00A96125">
        <w:rPr>
          <w:rFonts w:ascii="Garamond" w:hAnsi="Garamond" w:cs="Times New Roman"/>
          <w:b/>
          <w:iCs/>
          <w:sz w:val="24"/>
          <w:szCs w:val="24"/>
        </w:rPr>
        <w:t>)</w:t>
      </w:r>
      <w:r w:rsidR="00352E19">
        <w:rPr>
          <w:rFonts w:ascii="Garamond" w:hAnsi="Garamond" w:cs="Times New Roman"/>
          <w:b/>
          <w:iCs/>
          <w:sz w:val="24"/>
          <w:szCs w:val="24"/>
        </w:rPr>
        <w:t>.</w:t>
      </w:r>
      <w:r w:rsidR="00A96125">
        <w:rPr>
          <w:rFonts w:ascii="Garamond" w:hAnsi="Garamond" w:cs="Times New Roman"/>
          <w:b/>
          <w:iCs/>
          <w:sz w:val="24"/>
          <w:szCs w:val="24"/>
        </w:rPr>
        <w:t xml:space="preserve"> </w:t>
      </w:r>
    </w:p>
    <w:p w14:paraId="2B9FE271" w14:textId="77777777" w:rsidR="00526FD9" w:rsidRPr="00476F75" w:rsidRDefault="00526FD9" w:rsidP="00526FD9">
      <w:pPr>
        <w:spacing w:line="240" w:lineRule="auto"/>
        <w:contextualSpacing/>
        <w:rPr>
          <w:rFonts w:ascii="Garamond" w:hAnsi="Garamond" w:cs="Times New Roman"/>
          <w:b/>
          <w:iCs/>
          <w:sz w:val="24"/>
          <w:szCs w:val="24"/>
        </w:rPr>
      </w:pPr>
    </w:p>
    <w:p w14:paraId="2FBEE477" w14:textId="01BAC389" w:rsidR="00526FD9" w:rsidRPr="00476F75" w:rsidRDefault="00526FD9" w:rsidP="00526FD9">
      <w:pPr>
        <w:spacing w:line="240" w:lineRule="auto"/>
        <w:contextualSpacing/>
        <w:rPr>
          <w:rFonts w:ascii="Garamond" w:hAnsi="Garamond" w:cs="Times New Roman"/>
          <w:b/>
          <w:iCs/>
          <w:sz w:val="24"/>
          <w:szCs w:val="24"/>
        </w:rPr>
      </w:pPr>
      <w:r w:rsidRPr="00476F75">
        <w:rPr>
          <w:rFonts w:ascii="Garamond" w:hAnsi="Garamond" w:cs="Times New Roman"/>
          <w:b/>
          <w:iCs/>
          <w:sz w:val="24"/>
          <w:szCs w:val="24"/>
        </w:rPr>
        <w:t xml:space="preserve">Imre Lakatos, “Falsification and the Methodology of Scientific Research Programmes,” in </w:t>
      </w:r>
      <w:r w:rsidRPr="00476F75">
        <w:rPr>
          <w:rFonts w:ascii="Garamond" w:hAnsi="Garamond" w:cs="Times New Roman"/>
          <w:b/>
          <w:i/>
          <w:sz w:val="24"/>
          <w:szCs w:val="24"/>
        </w:rPr>
        <w:t>Criticism and the Growth of Knowledge</w:t>
      </w:r>
      <w:r w:rsidRPr="00476F75">
        <w:rPr>
          <w:rFonts w:ascii="Garamond" w:hAnsi="Garamond" w:cs="Times New Roman"/>
          <w:b/>
          <w:iCs/>
          <w:sz w:val="24"/>
          <w:szCs w:val="24"/>
        </w:rPr>
        <w:t>, eds. Imre Lakatos and Alan Musgrave</w:t>
      </w:r>
      <w:r w:rsidR="00A96125">
        <w:rPr>
          <w:rFonts w:ascii="Garamond" w:hAnsi="Garamond" w:cs="Times New Roman"/>
          <w:b/>
          <w:iCs/>
          <w:sz w:val="24"/>
          <w:szCs w:val="24"/>
        </w:rPr>
        <w:t xml:space="preserve"> (</w:t>
      </w:r>
      <w:r w:rsidRPr="00476F75">
        <w:rPr>
          <w:rFonts w:ascii="Garamond" w:hAnsi="Garamond" w:cs="Times New Roman"/>
          <w:b/>
          <w:iCs/>
          <w:sz w:val="24"/>
          <w:szCs w:val="24"/>
        </w:rPr>
        <w:t>Cambridge: Cambridge University Press, 1970</w:t>
      </w:r>
      <w:r w:rsidR="00A96125">
        <w:rPr>
          <w:rFonts w:ascii="Garamond" w:hAnsi="Garamond" w:cs="Times New Roman"/>
          <w:b/>
          <w:iCs/>
          <w:sz w:val="24"/>
          <w:szCs w:val="24"/>
        </w:rPr>
        <w:t>)</w:t>
      </w:r>
      <w:r w:rsidRPr="00476F75">
        <w:rPr>
          <w:rFonts w:ascii="Garamond" w:hAnsi="Garamond" w:cs="Times New Roman"/>
          <w:b/>
          <w:iCs/>
          <w:sz w:val="24"/>
          <w:szCs w:val="24"/>
        </w:rPr>
        <w:t>.</w:t>
      </w:r>
    </w:p>
    <w:p w14:paraId="0BB29738" w14:textId="5D600301" w:rsidR="00870100" w:rsidRPr="00476F75" w:rsidRDefault="00870100" w:rsidP="00526FD9">
      <w:pPr>
        <w:spacing w:line="240" w:lineRule="auto"/>
        <w:contextualSpacing/>
        <w:rPr>
          <w:rFonts w:ascii="Garamond" w:hAnsi="Garamond" w:cs="Times New Roman"/>
          <w:b/>
          <w:iCs/>
          <w:sz w:val="24"/>
          <w:szCs w:val="24"/>
        </w:rPr>
      </w:pPr>
    </w:p>
    <w:p w14:paraId="4CE6AFE0" w14:textId="7EA17919" w:rsidR="005F50B9" w:rsidRDefault="006F1C5C" w:rsidP="00870100">
      <w:pPr>
        <w:rPr>
          <w:rFonts w:ascii="Garamond" w:hAnsi="Garamond" w:cs="Times New Roman"/>
          <w:b/>
          <w:sz w:val="24"/>
          <w:szCs w:val="24"/>
        </w:rPr>
      </w:pPr>
      <w:r w:rsidRPr="00476F75">
        <w:rPr>
          <w:rFonts w:ascii="Garamond" w:hAnsi="Garamond" w:cs="Times New Roman"/>
          <w:b/>
          <w:sz w:val="24"/>
          <w:szCs w:val="24"/>
        </w:rPr>
        <w:t xml:space="preserve">Peter Hall, “Aligning Ontology and Methodology in Comparative Research,” in </w:t>
      </w:r>
      <w:r w:rsidRPr="00476F75">
        <w:rPr>
          <w:rFonts w:ascii="Garamond" w:hAnsi="Garamond" w:cs="Times New Roman"/>
          <w:b/>
          <w:i/>
          <w:iCs/>
          <w:sz w:val="24"/>
          <w:szCs w:val="24"/>
        </w:rPr>
        <w:t>Comparative Historical Analysis in the Social Sciences</w:t>
      </w:r>
      <w:r w:rsidRPr="00476F75">
        <w:rPr>
          <w:rFonts w:ascii="Garamond" w:hAnsi="Garamond" w:cs="Times New Roman"/>
          <w:b/>
          <w:sz w:val="24"/>
          <w:szCs w:val="24"/>
        </w:rPr>
        <w:t>, ed. James Mahoney and Dietrich Rueschemeyer (Cambridge: Cambridge University Press, 2003), 373–404.</w:t>
      </w:r>
    </w:p>
    <w:p w14:paraId="115D3D93" w14:textId="77777777" w:rsidR="005F50B9" w:rsidRPr="005F50B9" w:rsidRDefault="005F50B9" w:rsidP="005F50B9">
      <w:pPr>
        <w:spacing w:line="240" w:lineRule="auto"/>
        <w:contextualSpacing/>
        <w:rPr>
          <w:rFonts w:ascii="Garamond" w:hAnsi="Garamond" w:cs="Times New Roman"/>
          <w:b/>
          <w:iCs/>
          <w:sz w:val="24"/>
          <w:szCs w:val="24"/>
        </w:rPr>
      </w:pPr>
      <w:r w:rsidRPr="005F50B9">
        <w:rPr>
          <w:rFonts w:ascii="Garamond" w:hAnsi="Garamond" w:cs="Times New Roman"/>
          <w:b/>
          <w:iCs/>
          <w:sz w:val="24"/>
          <w:szCs w:val="24"/>
        </w:rPr>
        <w:t xml:space="preserve">Ian Shapiro, “Problems, Methods, and Theories in the Study of Politics, or: What’s Wrong with Political Science and What to Do about It,” in </w:t>
      </w:r>
      <w:r w:rsidRPr="005F50B9">
        <w:rPr>
          <w:rFonts w:ascii="Garamond" w:hAnsi="Garamond" w:cs="Times New Roman"/>
          <w:b/>
          <w:i/>
          <w:iCs/>
          <w:sz w:val="24"/>
          <w:szCs w:val="24"/>
        </w:rPr>
        <w:t xml:space="preserve">Problems and Methods in the Study of </w:t>
      </w:r>
      <w:r w:rsidRPr="005F50B9">
        <w:rPr>
          <w:rFonts w:ascii="Garamond" w:hAnsi="Garamond" w:cs="Times New Roman"/>
          <w:b/>
          <w:i/>
          <w:iCs/>
          <w:sz w:val="24"/>
          <w:szCs w:val="24"/>
        </w:rPr>
        <w:lastRenderedPageBreak/>
        <w:t>Politics</w:t>
      </w:r>
      <w:r w:rsidRPr="005F50B9">
        <w:rPr>
          <w:rFonts w:ascii="Garamond" w:hAnsi="Garamond" w:cs="Times New Roman"/>
          <w:b/>
          <w:iCs/>
          <w:sz w:val="24"/>
          <w:szCs w:val="24"/>
        </w:rPr>
        <w:t>, ed. Ian Shapiro, Roger M. Smith, and Tarek E. Masoud (Cambridge: Cambridge University Press, 2009), 19–41.</w:t>
      </w:r>
    </w:p>
    <w:p w14:paraId="1FE438A1" w14:textId="77777777" w:rsidR="005F50B9" w:rsidRPr="00476F75" w:rsidRDefault="005F50B9" w:rsidP="00870100">
      <w:pPr>
        <w:rPr>
          <w:rFonts w:ascii="Garamond" w:hAnsi="Garamond" w:cs="Times New Roman"/>
          <w:b/>
          <w:sz w:val="24"/>
          <w:szCs w:val="24"/>
        </w:rPr>
      </w:pPr>
    </w:p>
    <w:p w14:paraId="2C5003C5" w14:textId="2609231E" w:rsidR="00CA0313" w:rsidRDefault="00FE1840" w:rsidP="00870100">
      <w:pPr>
        <w:rPr>
          <w:rFonts w:ascii="Garamond" w:hAnsi="Garamond" w:cs="Times New Roman"/>
          <w:sz w:val="24"/>
          <w:szCs w:val="24"/>
        </w:rPr>
      </w:pPr>
      <w:r>
        <w:rPr>
          <w:rFonts w:ascii="Garamond" w:hAnsi="Garamond" w:cs="Times New Roman"/>
          <w:sz w:val="24"/>
          <w:szCs w:val="24"/>
        </w:rPr>
        <w:t>OPTIONAL:</w:t>
      </w:r>
    </w:p>
    <w:p w14:paraId="59C49212" w14:textId="43526385" w:rsidR="00CA0313" w:rsidRPr="005F50B9" w:rsidRDefault="00CA0313" w:rsidP="00870100">
      <w:pPr>
        <w:rPr>
          <w:rFonts w:ascii="Garamond" w:hAnsi="Garamond" w:cs="Times New Roman"/>
          <w:bCs/>
          <w:sz w:val="24"/>
          <w:szCs w:val="24"/>
        </w:rPr>
      </w:pPr>
      <w:r w:rsidRPr="00CA0313">
        <w:rPr>
          <w:rFonts w:ascii="Garamond" w:hAnsi="Garamond" w:cs="Times New Roman"/>
          <w:bCs/>
          <w:sz w:val="24"/>
          <w:szCs w:val="24"/>
        </w:rPr>
        <w:t xml:space="preserve">Craig Parsons, </w:t>
      </w:r>
      <w:r w:rsidRPr="00CA0313">
        <w:rPr>
          <w:rFonts w:ascii="Garamond" w:hAnsi="Garamond" w:cs="Times New Roman"/>
          <w:bCs/>
          <w:i/>
          <w:iCs/>
          <w:sz w:val="24"/>
          <w:szCs w:val="24"/>
        </w:rPr>
        <w:t>How to Map Arguments in Political Science</w:t>
      </w:r>
      <w:r w:rsidRPr="00CA0313">
        <w:rPr>
          <w:rFonts w:ascii="Garamond" w:hAnsi="Garamond" w:cs="Times New Roman"/>
          <w:bCs/>
          <w:sz w:val="24"/>
          <w:szCs w:val="24"/>
        </w:rPr>
        <w:t xml:space="preserve"> (New York: Oxford University Press, 2007)</w:t>
      </w:r>
      <w:r w:rsidR="00A96125">
        <w:rPr>
          <w:rFonts w:ascii="Garamond" w:hAnsi="Garamond" w:cs="Times New Roman"/>
          <w:bCs/>
          <w:sz w:val="24"/>
          <w:szCs w:val="24"/>
        </w:rPr>
        <w:t>.</w:t>
      </w:r>
      <w:r w:rsidRPr="00CA0313">
        <w:rPr>
          <w:rFonts w:ascii="Garamond" w:hAnsi="Garamond" w:cs="Times New Roman"/>
          <w:bCs/>
          <w:sz w:val="24"/>
          <w:szCs w:val="24"/>
        </w:rPr>
        <w:t xml:space="preserve"> Introduction and Chapter 1.</w:t>
      </w:r>
    </w:p>
    <w:p w14:paraId="694E72D0" w14:textId="0DB5B8D6" w:rsidR="00FE1840" w:rsidRDefault="00FE1840" w:rsidP="00FE1840">
      <w:pPr>
        <w:spacing w:line="240" w:lineRule="auto"/>
        <w:contextualSpacing/>
        <w:rPr>
          <w:rFonts w:ascii="Garamond" w:hAnsi="Garamond" w:cs="Times New Roman"/>
          <w:bCs/>
          <w:iCs/>
          <w:sz w:val="24"/>
          <w:szCs w:val="24"/>
        </w:rPr>
      </w:pPr>
      <w:r w:rsidRPr="00526FD9">
        <w:rPr>
          <w:rFonts w:ascii="Garamond" w:hAnsi="Garamond" w:cs="Times New Roman"/>
          <w:bCs/>
          <w:iCs/>
          <w:sz w:val="24"/>
          <w:szCs w:val="24"/>
        </w:rPr>
        <w:t xml:space="preserve">Andrew Abbott, </w:t>
      </w:r>
      <w:r w:rsidRPr="00526FD9">
        <w:rPr>
          <w:rFonts w:ascii="Garamond" w:hAnsi="Garamond" w:cs="Times New Roman"/>
          <w:bCs/>
          <w:i/>
          <w:iCs/>
          <w:sz w:val="24"/>
          <w:szCs w:val="24"/>
        </w:rPr>
        <w:t>Methods of Discovery: Heuristics for the Social Sciences</w:t>
      </w:r>
      <w:r w:rsidRPr="00526FD9">
        <w:rPr>
          <w:rFonts w:ascii="Garamond" w:hAnsi="Garamond" w:cs="Times New Roman"/>
          <w:bCs/>
          <w:iCs/>
          <w:sz w:val="24"/>
          <w:szCs w:val="24"/>
        </w:rPr>
        <w:t>, Contemporary Societies (New York: Norton, n.d.), 3–79</w:t>
      </w:r>
      <w:r w:rsidR="00B9180C">
        <w:rPr>
          <w:rFonts w:ascii="Garamond" w:hAnsi="Garamond" w:cs="Times New Roman"/>
          <w:bCs/>
          <w:iCs/>
          <w:sz w:val="24"/>
          <w:szCs w:val="24"/>
        </w:rPr>
        <w:t xml:space="preserve"> (</w:t>
      </w:r>
      <w:r w:rsidR="00A96125">
        <w:rPr>
          <w:rFonts w:ascii="Garamond" w:hAnsi="Garamond" w:cs="Times New Roman"/>
          <w:bCs/>
          <w:iCs/>
          <w:sz w:val="24"/>
          <w:szCs w:val="24"/>
        </w:rPr>
        <w:t>C</w:t>
      </w:r>
      <w:r w:rsidRPr="00526FD9">
        <w:rPr>
          <w:rFonts w:ascii="Garamond" w:hAnsi="Garamond" w:cs="Times New Roman"/>
          <w:bCs/>
          <w:iCs/>
          <w:sz w:val="24"/>
          <w:szCs w:val="24"/>
        </w:rPr>
        <w:t>hapter 1</w:t>
      </w:r>
      <w:r w:rsidR="001D35E1">
        <w:rPr>
          <w:rFonts w:ascii="Garamond" w:hAnsi="Garamond" w:cs="Times New Roman"/>
          <w:bCs/>
          <w:iCs/>
          <w:sz w:val="24"/>
          <w:szCs w:val="24"/>
        </w:rPr>
        <w:t>–</w:t>
      </w:r>
      <w:r w:rsidRPr="00526FD9">
        <w:rPr>
          <w:rFonts w:ascii="Garamond" w:hAnsi="Garamond" w:cs="Times New Roman"/>
          <w:bCs/>
          <w:iCs/>
          <w:sz w:val="24"/>
          <w:szCs w:val="24"/>
        </w:rPr>
        <w:t>2</w:t>
      </w:r>
      <w:r w:rsidR="00B9180C">
        <w:rPr>
          <w:rFonts w:ascii="Garamond" w:hAnsi="Garamond" w:cs="Times New Roman"/>
          <w:bCs/>
          <w:iCs/>
          <w:sz w:val="24"/>
          <w:szCs w:val="24"/>
        </w:rPr>
        <w:t>)</w:t>
      </w:r>
      <w:r w:rsidR="001D35E1">
        <w:rPr>
          <w:rFonts w:ascii="Garamond" w:hAnsi="Garamond" w:cs="Times New Roman"/>
          <w:bCs/>
          <w:iCs/>
          <w:sz w:val="24"/>
          <w:szCs w:val="24"/>
        </w:rPr>
        <w:t>.</w:t>
      </w:r>
    </w:p>
    <w:p w14:paraId="5BCEA49C" w14:textId="218DD136" w:rsidR="00BF2D43" w:rsidRDefault="00BF2D43" w:rsidP="00FE1840">
      <w:pPr>
        <w:spacing w:line="240" w:lineRule="auto"/>
        <w:contextualSpacing/>
        <w:rPr>
          <w:rFonts w:ascii="Garamond" w:hAnsi="Garamond" w:cs="Times New Roman"/>
          <w:bCs/>
          <w:iCs/>
          <w:sz w:val="24"/>
          <w:szCs w:val="24"/>
        </w:rPr>
      </w:pPr>
    </w:p>
    <w:p w14:paraId="03C74CAA" w14:textId="52685FFC" w:rsidR="00846B65" w:rsidRPr="00E47D4E" w:rsidRDefault="00E47D4E" w:rsidP="00846B65">
      <w:pPr>
        <w:spacing w:line="240" w:lineRule="auto"/>
        <w:contextualSpacing/>
        <w:rPr>
          <w:rFonts w:ascii="Garamond" w:hAnsi="Garamond" w:cs="Times New Roman"/>
          <w:bCs/>
          <w:iCs/>
          <w:sz w:val="24"/>
          <w:szCs w:val="24"/>
        </w:rPr>
      </w:pPr>
      <w:r>
        <w:rPr>
          <w:rFonts w:ascii="Garamond" w:hAnsi="Garamond" w:cs="Times New Roman"/>
          <w:bCs/>
          <w:iCs/>
          <w:sz w:val="24"/>
          <w:szCs w:val="24"/>
        </w:rPr>
        <w:t xml:space="preserve">Max Weber, “The ‘Objectivity’ of Knowledge in Social Science and Social Policy” in </w:t>
      </w:r>
      <w:r>
        <w:rPr>
          <w:rFonts w:ascii="Garamond" w:hAnsi="Garamond" w:cs="Times New Roman"/>
          <w:bCs/>
          <w:i/>
          <w:sz w:val="24"/>
          <w:szCs w:val="24"/>
        </w:rPr>
        <w:t>The Essential Weber</w:t>
      </w:r>
      <w:r>
        <w:rPr>
          <w:rFonts w:ascii="Garamond" w:hAnsi="Garamond" w:cs="Times New Roman"/>
          <w:bCs/>
          <w:iCs/>
          <w:sz w:val="24"/>
          <w:szCs w:val="24"/>
        </w:rPr>
        <w:t xml:space="preserve">, </w:t>
      </w:r>
      <w:r w:rsidR="006806A5">
        <w:rPr>
          <w:rFonts w:ascii="Garamond" w:hAnsi="Garamond" w:cs="Times New Roman"/>
          <w:bCs/>
          <w:iCs/>
          <w:sz w:val="24"/>
          <w:szCs w:val="24"/>
        </w:rPr>
        <w:t>ed. Sam Whimster</w:t>
      </w:r>
      <w:r w:rsidR="00A96125">
        <w:rPr>
          <w:rFonts w:ascii="Garamond" w:hAnsi="Garamond" w:cs="Times New Roman"/>
          <w:bCs/>
          <w:iCs/>
          <w:sz w:val="24"/>
          <w:szCs w:val="24"/>
        </w:rPr>
        <w:t xml:space="preserve"> (</w:t>
      </w:r>
      <w:r w:rsidR="006806A5">
        <w:rPr>
          <w:rFonts w:ascii="Garamond" w:hAnsi="Garamond" w:cs="Times New Roman"/>
          <w:bCs/>
          <w:iCs/>
          <w:sz w:val="24"/>
          <w:szCs w:val="24"/>
        </w:rPr>
        <w:t>London: Routledge, 2003</w:t>
      </w:r>
      <w:r w:rsidR="00A96125">
        <w:rPr>
          <w:rFonts w:ascii="Garamond" w:hAnsi="Garamond" w:cs="Times New Roman"/>
          <w:bCs/>
          <w:iCs/>
          <w:sz w:val="24"/>
          <w:szCs w:val="24"/>
        </w:rPr>
        <w:t>).</w:t>
      </w:r>
    </w:p>
    <w:p w14:paraId="1E315CDF" w14:textId="77777777" w:rsidR="00E47D4E" w:rsidRPr="00846B65" w:rsidRDefault="00E47D4E" w:rsidP="00846B65">
      <w:pPr>
        <w:spacing w:line="240" w:lineRule="auto"/>
        <w:contextualSpacing/>
        <w:rPr>
          <w:rFonts w:ascii="Garamond" w:hAnsi="Garamond" w:cs="Times New Roman"/>
          <w:bCs/>
          <w:iCs/>
          <w:sz w:val="24"/>
          <w:szCs w:val="24"/>
        </w:rPr>
      </w:pPr>
    </w:p>
    <w:p w14:paraId="2CD38F50" w14:textId="1C16C62A" w:rsidR="00AE68E5" w:rsidRPr="00476F75" w:rsidRDefault="00AE68E5" w:rsidP="00870100">
      <w:pPr>
        <w:rPr>
          <w:rFonts w:ascii="Garamond" w:hAnsi="Garamond" w:cs="Times New Roman"/>
          <w:b/>
          <w:bCs/>
          <w:i/>
          <w:iCs/>
          <w:sz w:val="24"/>
          <w:szCs w:val="24"/>
        </w:rPr>
      </w:pPr>
      <w:r w:rsidRPr="00476F75">
        <w:rPr>
          <w:rFonts w:ascii="Garamond" w:hAnsi="Garamond" w:cs="Times New Roman"/>
          <w:b/>
          <w:bCs/>
          <w:i/>
          <w:iCs/>
          <w:sz w:val="24"/>
          <w:szCs w:val="24"/>
        </w:rPr>
        <w:t>How do I do a literature review?</w:t>
      </w:r>
    </w:p>
    <w:p w14:paraId="11D9840C" w14:textId="469E48C6" w:rsidR="00AE68E5" w:rsidRDefault="00AE68E5" w:rsidP="008A1E93">
      <w:pPr>
        <w:spacing w:line="240" w:lineRule="auto"/>
        <w:contextualSpacing/>
        <w:rPr>
          <w:rFonts w:ascii="Garamond" w:hAnsi="Garamond" w:cs="Times New Roman"/>
          <w:b/>
          <w:bCs/>
          <w:sz w:val="24"/>
          <w:szCs w:val="24"/>
        </w:rPr>
      </w:pPr>
      <w:r w:rsidRPr="00476F75">
        <w:rPr>
          <w:rFonts w:ascii="Garamond" w:hAnsi="Garamond" w:cs="Times New Roman"/>
          <w:b/>
          <w:bCs/>
          <w:sz w:val="24"/>
          <w:szCs w:val="24"/>
        </w:rPr>
        <w:t>Jeffrey</w:t>
      </w:r>
      <w:r w:rsidR="001006F5">
        <w:rPr>
          <w:rFonts w:ascii="Garamond" w:hAnsi="Garamond" w:cs="Times New Roman"/>
          <w:b/>
          <w:bCs/>
          <w:sz w:val="24"/>
          <w:szCs w:val="24"/>
        </w:rPr>
        <w:t xml:space="preserve"> </w:t>
      </w:r>
      <w:r w:rsidR="001006F5" w:rsidRPr="00476F75">
        <w:rPr>
          <w:rFonts w:ascii="Garamond" w:hAnsi="Garamond" w:cs="Times New Roman"/>
          <w:b/>
          <w:bCs/>
          <w:sz w:val="24"/>
          <w:szCs w:val="24"/>
        </w:rPr>
        <w:t>Knopf,</w:t>
      </w:r>
      <w:r w:rsidRPr="00476F75">
        <w:rPr>
          <w:rFonts w:ascii="Garamond" w:hAnsi="Garamond" w:cs="Times New Roman"/>
          <w:b/>
          <w:bCs/>
          <w:sz w:val="24"/>
          <w:szCs w:val="24"/>
        </w:rPr>
        <w:t xml:space="preserve"> “Doing a Literature Review</w:t>
      </w:r>
      <w:r w:rsidR="001006F5">
        <w:rPr>
          <w:rFonts w:ascii="Garamond" w:hAnsi="Garamond" w:cs="Times New Roman"/>
          <w:b/>
          <w:bCs/>
          <w:sz w:val="24"/>
          <w:szCs w:val="24"/>
        </w:rPr>
        <w:t>,</w:t>
      </w:r>
      <w:r w:rsidRPr="00476F75">
        <w:rPr>
          <w:rFonts w:ascii="Garamond" w:hAnsi="Garamond" w:cs="Times New Roman"/>
          <w:b/>
          <w:bCs/>
          <w:sz w:val="24"/>
          <w:szCs w:val="24"/>
        </w:rPr>
        <w:t xml:space="preserve">” </w:t>
      </w:r>
      <w:r w:rsidRPr="00476F75">
        <w:rPr>
          <w:rFonts w:ascii="Garamond" w:hAnsi="Garamond" w:cs="Times New Roman"/>
          <w:b/>
          <w:bCs/>
          <w:i/>
          <w:iCs/>
          <w:sz w:val="24"/>
          <w:szCs w:val="24"/>
        </w:rPr>
        <w:t>PS: Political Science and Politics</w:t>
      </w:r>
      <w:r w:rsidRPr="00476F75">
        <w:rPr>
          <w:rFonts w:ascii="Garamond" w:hAnsi="Garamond" w:cs="Times New Roman"/>
          <w:b/>
          <w:bCs/>
          <w:sz w:val="24"/>
          <w:szCs w:val="24"/>
        </w:rPr>
        <w:t xml:space="preserve"> 39, no. 1</w:t>
      </w:r>
      <w:r w:rsidR="001006F5">
        <w:rPr>
          <w:rFonts w:ascii="Garamond" w:hAnsi="Garamond" w:cs="Times New Roman"/>
          <w:b/>
          <w:bCs/>
          <w:sz w:val="24"/>
          <w:szCs w:val="24"/>
        </w:rPr>
        <w:t xml:space="preserve"> (January 2006)</w:t>
      </w:r>
      <w:r w:rsidRPr="00476F75">
        <w:rPr>
          <w:rFonts w:ascii="Garamond" w:hAnsi="Garamond" w:cs="Times New Roman"/>
          <w:b/>
          <w:bCs/>
          <w:sz w:val="24"/>
          <w:szCs w:val="24"/>
        </w:rPr>
        <w:t>: 127</w:t>
      </w:r>
      <w:r w:rsidRPr="00476F75">
        <w:rPr>
          <w:rFonts w:ascii="Times New Roman" w:hAnsi="Times New Roman" w:cs="Times New Roman"/>
          <w:b/>
          <w:bCs/>
          <w:sz w:val="24"/>
          <w:szCs w:val="24"/>
        </w:rPr>
        <w:t>‐</w:t>
      </w:r>
      <w:r w:rsidRPr="00476F75">
        <w:rPr>
          <w:rFonts w:ascii="Garamond" w:hAnsi="Garamond" w:cs="Times New Roman"/>
          <w:b/>
          <w:bCs/>
          <w:sz w:val="24"/>
          <w:szCs w:val="24"/>
        </w:rPr>
        <w:t>32.</w:t>
      </w:r>
    </w:p>
    <w:p w14:paraId="32E981CF" w14:textId="77777777" w:rsidR="001B1C19" w:rsidRDefault="001B1C19" w:rsidP="008A1E93">
      <w:pPr>
        <w:spacing w:line="240" w:lineRule="auto"/>
        <w:contextualSpacing/>
        <w:rPr>
          <w:rFonts w:ascii="Garamond" w:hAnsi="Garamond" w:cs="Times New Roman"/>
          <w:b/>
          <w:bCs/>
          <w:sz w:val="24"/>
          <w:szCs w:val="24"/>
        </w:rPr>
      </w:pPr>
    </w:p>
    <w:p w14:paraId="0AFF0271" w14:textId="77777777" w:rsidR="00A96125" w:rsidRPr="00870100" w:rsidRDefault="00A96125" w:rsidP="001F71B5">
      <w:pPr>
        <w:spacing w:line="240" w:lineRule="auto"/>
        <w:contextualSpacing/>
        <w:rPr>
          <w:rFonts w:ascii="Garamond" w:hAnsi="Garamond" w:cs="Times New Roman"/>
          <w:sz w:val="24"/>
          <w:szCs w:val="24"/>
        </w:rPr>
      </w:pPr>
    </w:p>
    <w:p w14:paraId="236A11D6" w14:textId="77777777" w:rsidR="00016483" w:rsidRPr="00103F8D" w:rsidRDefault="00016483" w:rsidP="00016483">
      <w:pPr>
        <w:spacing w:line="240" w:lineRule="auto"/>
        <w:contextualSpacing/>
        <w:rPr>
          <w:rFonts w:ascii="Garamond" w:hAnsi="Garamond" w:cs="Times New Roman"/>
          <w:sz w:val="24"/>
          <w:szCs w:val="24"/>
        </w:rPr>
      </w:pPr>
      <w:r w:rsidRPr="00103F8D">
        <w:rPr>
          <w:rFonts w:ascii="Garamond" w:hAnsi="Garamond" w:cs="Times New Roman"/>
          <w:b/>
          <w:i/>
          <w:sz w:val="24"/>
          <w:szCs w:val="24"/>
        </w:rPr>
        <w:t xml:space="preserve">February 6: </w:t>
      </w:r>
    </w:p>
    <w:p w14:paraId="13AED8FB" w14:textId="77777777" w:rsidR="00526FD9" w:rsidRPr="00870100" w:rsidRDefault="00526FD9" w:rsidP="00526FD9">
      <w:pPr>
        <w:spacing w:line="240" w:lineRule="auto"/>
        <w:contextualSpacing/>
        <w:rPr>
          <w:rFonts w:ascii="Garamond" w:hAnsi="Garamond" w:cs="Times New Roman"/>
          <w:bCs/>
          <w:iCs/>
          <w:sz w:val="24"/>
          <w:szCs w:val="24"/>
        </w:rPr>
      </w:pPr>
    </w:p>
    <w:p w14:paraId="77E44F05" w14:textId="216FF311" w:rsidR="008B46D1" w:rsidRPr="00476F75" w:rsidRDefault="002B1DA2" w:rsidP="001F71B5">
      <w:pPr>
        <w:spacing w:line="240" w:lineRule="auto"/>
        <w:contextualSpacing/>
        <w:rPr>
          <w:rFonts w:ascii="Garamond" w:hAnsi="Garamond" w:cs="Times New Roman"/>
          <w:b/>
          <w:i/>
          <w:sz w:val="24"/>
          <w:szCs w:val="24"/>
        </w:rPr>
      </w:pPr>
      <w:r w:rsidRPr="00476F75">
        <w:rPr>
          <w:rFonts w:ascii="Garamond" w:hAnsi="Garamond" w:cs="Times New Roman"/>
          <w:b/>
          <w:i/>
          <w:sz w:val="24"/>
          <w:szCs w:val="24"/>
        </w:rPr>
        <w:t>Causation</w:t>
      </w:r>
    </w:p>
    <w:p w14:paraId="018A6B9D" w14:textId="6C10AFE4" w:rsidR="00526FD9" w:rsidRPr="00476F75" w:rsidRDefault="00526FD9" w:rsidP="001F71B5">
      <w:pPr>
        <w:spacing w:line="240" w:lineRule="auto"/>
        <w:contextualSpacing/>
        <w:rPr>
          <w:rFonts w:ascii="Garamond" w:hAnsi="Garamond" w:cs="Times New Roman"/>
          <w:b/>
          <w:i/>
          <w:sz w:val="24"/>
          <w:szCs w:val="24"/>
        </w:rPr>
      </w:pPr>
    </w:p>
    <w:p w14:paraId="06635C21" w14:textId="3FA9B208" w:rsidR="002B1DA2" w:rsidRPr="00476F75" w:rsidRDefault="002B1DA2" w:rsidP="002B1DA2">
      <w:pPr>
        <w:rPr>
          <w:rFonts w:ascii="Garamond" w:hAnsi="Garamond" w:cs="Times New Roman"/>
          <w:b/>
          <w:sz w:val="24"/>
          <w:szCs w:val="24"/>
        </w:rPr>
      </w:pPr>
      <w:r w:rsidRPr="00476F75">
        <w:rPr>
          <w:rFonts w:ascii="Garamond" w:hAnsi="Garamond" w:cs="Times New Roman"/>
          <w:b/>
          <w:sz w:val="24"/>
          <w:szCs w:val="24"/>
        </w:rPr>
        <w:t xml:space="preserve">Patrick Thaddeus Jackson, “Causal Claims and Causal Explanation in International Studies,” </w:t>
      </w:r>
      <w:r w:rsidRPr="00476F75">
        <w:rPr>
          <w:rFonts w:ascii="Garamond" w:hAnsi="Garamond" w:cs="Times New Roman"/>
          <w:b/>
          <w:i/>
          <w:iCs/>
          <w:sz w:val="24"/>
          <w:szCs w:val="24"/>
        </w:rPr>
        <w:t>Journal of International Relations and Development</w:t>
      </w:r>
      <w:r w:rsidRPr="00476F75">
        <w:rPr>
          <w:rFonts w:ascii="Garamond" w:hAnsi="Garamond" w:cs="Times New Roman"/>
          <w:b/>
          <w:sz w:val="24"/>
          <w:szCs w:val="24"/>
        </w:rPr>
        <w:t xml:space="preserve"> 20 (2017): 689–716.</w:t>
      </w:r>
    </w:p>
    <w:p w14:paraId="3A6A8D5B" w14:textId="25654CB4" w:rsidR="005740F9" w:rsidRDefault="000F472D" w:rsidP="001F71B5">
      <w:pPr>
        <w:spacing w:line="240" w:lineRule="auto"/>
        <w:contextualSpacing/>
        <w:rPr>
          <w:rFonts w:ascii="Garamond" w:hAnsi="Garamond" w:cs="Times New Roman"/>
          <w:b/>
          <w:iCs/>
          <w:sz w:val="24"/>
          <w:szCs w:val="24"/>
        </w:rPr>
      </w:pPr>
      <w:r>
        <w:rPr>
          <w:rFonts w:ascii="Garamond" w:hAnsi="Garamond" w:cs="Times New Roman"/>
          <w:b/>
          <w:iCs/>
          <w:sz w:val="24"/>
          <w:szCs w:val="24"/>
        </w:rPr>
        <w:t>Milja Kurki</w:t>
      </w:r>
      <w:r w:rsidRPr="000F472D">
        <w:rPr>
          <w:rFonts w:ascii="Garamond" w:hAnsi="Garamond" w:cs="Times New Roman"/>
          <w:b/>
          <w:iCs/>
          <w:sz w:val="24"/>
          <w:szCs w:val="24"/>
        </w:rPr>
        <w:t xml:space="preserve"> and Hidemi Suganami</w:t>
      </w:r>
      <w:r w:rsidR="00A17C5B">
        <w:rPr>
          <w:rFonts w:ascii="Garamond" w:hAnsi="Garamond" w:cs="Times New Roman"/>
          <w:b/>
          <w:iCs/>
          <w:sz w:val="24"/>
          <w:szCs w:val="24"/>
        </w:rPr>
        <w:t>,</w:t>
      </w:r>
      <w:r w:rsidRPr="000F472D">
        <w:rPr>
          <w:rFonts w:ascii="Garamond" w:hAnsi="Garamond" w:cs="Times New Roman"/>
          <w:b/>
          <w:iCs/>
          <w:sz w:val="24"/>
          <w:szCs w:val="24"/>
        </w:rPr>
        <w:t xml:space="preserve"> “Towards the Politics of Causal Explanation: A Reply to the Critics of Causal Inquiries</w:t>
      </w:r>
      <w:r w:rsidR="00A17C5B">
        <w:rPr>
          <w:rFonts w:ascii="Garamond" w:hAnsi="Garamond" w:cs="Times New Roman"/>
          <w:b/>
          <w:iCs/>
          <w:sz w:val="24"/>
          <w:szCs w:val="24"/>
        </w:rPr>
        <w:t>,</w:t>
      </w:r>
      <w:r w:rsidRPr="000F472D">
        <w:rPr>
          <w:rFonts w:ascii="Garamond" w:hAnsi="Garamond" w:cs="Times New Roman"/>
          <w:b/>
          <w:iCs/>
          <w:sz w:val="24"/>
          <w:szCs w:val="24"/>
        </w:rPr>
        <w:t xml:space="preserve">” </w:t>
      </w:r>
      <w:r w:rsidRPr="00A17C5B">
        <w:rPr>
          <w:rFonts w:ascii="Garamond" w:hAnsi="Garamond" w:cs="Times New Roman"/>
          <w:b/>
          <w:i/>
          <w:sz w:val="24"/>
          <w:szCs w:val="24"/>
        </w:rPr>
        <w:t>International Theory</w:t>
      </w:r>
      <w:r w:rsidRPr="000F472D">
        <w:rPr>
          <w:rFonts w:ascii="Garamond" w:hAnsi="Garamond" w:cs="Times New Roman"/>
          <w:b/>
          <w:iCs/>
          <w:sz w:val="24"/>
          <w:szCs w:val="24"/>
        </w:rPr>
        <w:t xml:space="preserve"> 4, no. 03 (2012): 400–429</w:t>
      </w:r>
      <w:r w:rsidR="00A17C5B">
        <w:rPr>
          <w:rFonts w:ascii="Garamond" w:hAnsi="Garamond" w:cs="Times New Roman"/>
          <w:b/>
          <w:iCs/>
          <w:sz w:val="24"/>
          <w:szCs w:val="24"/>
        </w:rPr>
        <w:t>.</w:t>
      </w:r>
    </w:p>
    <w:p w14:paraId="62477F1F" w14:textId="77777777" w:rsidR="00A23CC2" w:rsidRPr="00476F75" w:rsidRDefault="00A23CC2" w:rsidP="001F71B5">
      <w:pPr>
        <w:spacing w:line="240" w:lineRule="auto"/>
        <w:contextualSpacing/>
        <w:rPr>
          <w:rFonts w:ascii="Garamond" w:hAnsi="Garamond" w:cs="Times New Roman"/>
          <w:b/>
          <w:iCs/>
          <w:sz w:val="24"/>
          <w:szCs w:val="24"/>
        </w:rPr>
      </w:pPr>
    </w:p>
    <w:p w14:paraId="62A95520" w14:textId="77777777" w:rsidR="00870100" w:rsidRPr="00476F75" w:rsidRDefault="00870100" w:rsidP="00870100">
      <w:pPr>
        <w:spacing w:line="240" w:lineRule="auto"/>
        <w:contextualSpacing/>
        <w:rPr>
          <w:rFonts w:ascii="Garamond" w:hAnsi="Garamond" w:cs="Times New Roman"/>
          <w:b/>
          <w:iCs/>
          <w:sz w:val="24"/>
          <w:szCs w:val="24"/>
        </w:rPr>
      </w:pPr>
      <w:r w:rsidRPr="00476F75">
        <w:rPr>
          <w:rFonts w:ascii="Garamond" w:hAnsi="Garamond" w:cs="Times New Roman"/>
          <w:b/>
          <w:iCs/>
          <w:sz w:val="24"/>
          <w:szCs w:val="24"/>
        </w:rPr>
        <w:t xml:space="preserve">Chiara Ruffa and Matthew Evangelista, “Searching for a Middle Ground? A Spectrum of Views of Causality in Qualitative Research,” </w:t>
      </w:r>
      <w:r w:rsidRPr="00476F75">
        <w:rPr>
          <w:rFonts w:ascii="Garamond" w:hAnsi="Garamond" w:cs="Times New Roman"/>
          <w:b/>
          <w:i/>
          <w:iCs/>
          <w:sz w:val="24"/>
          <w:szCs w:val="24"/>
        </w:rPr>
        <w:t>Italian Political Science Review</w:t>
      </w:r>
      <w:r w:rsidRPr="00476F75">
        <w:rPr>
          <w:rFonts w:ascii="Garamond" w:hAnsi="Garamond" w:cs="Times New Roman"/>
          <w:b/>
          <w:iCs/>
          <w:sz w:val="24"/>
          <w:szCs w:val="24"/>
        </w:rPr>
        <w:t xml:space="preserve"> 51 (2021): 164–81.</w:t>
      </w:r>
    </w:p>
    <w:p w14:paraId="17670381" w14:textId="5F98E56F" w:rsidR="008B46D1" w:rsidRPr="00476F75" w:rsidRDefault="008B46D1" w:rsidP="001F71B5">
      <w:pPr>
        <w:spacing w:line="240" w:lineRule="auto"/>
        <w:contextualSpacing/>
        <w:rPr>
          <w:rFonts w:ascii="Garamond" w:hAnsi="Garamond" w:cs="Times New Roman"/>
          <w:b/>
          <w:iCs/>
          <w:sz w:val="24"/>
          <w:szCs w:val="24"/>
        </w:rPr>
      </w:pPr>
    </w:p>
    <w:p w14:paraId="29299B9F" w14:textId="3E071B2E" w:rsidR="002708F8" w:rsidRPr="00476F75" w:rsidRDefault="002708F8" w:rsidP="002708F8">
      <w:pPr>
        <w:spacing w:line="240" w:lineRule="auto"/>
        <w:contextualSpacing/>
        <w:rPr>
          <w:rFonts w:ascii="Garamond" w:hAnsi="Garamond" w:cs="Times New Roman"/>
          <w:b/>
          <w:iCs/>
          <w:sz w:val="24"/>
          <w:szCs w:val="24"/>
        </w:rPr>
      </w:pPr>
      <w:r w:rsidRPr="00476F75">
        <w:rPr>
          <w:rFonts w:ascii="Garamond" w:hAnsi="Garamond" w:cs="Times New Roman"/>
          <w:b/>
          <w:iCs/>
          <w:sz w:val="24"/>
          <w:szCs w:val="24"/>
        </w:rPr>
        <w:t xml:space="preserve">Richard Ned Lebow, </w:t>
      </w:r>
      <w:r w:rsidRPr="00476F75">
        <w:rPr>
          <w:rFonts w:ascii="Garamond" w:hAnsi="Garamond" w:cs="Times New Roman"/>
          <w:b/>
          <w:i/>
          <w:iCs/>
          <w:sz w:val="24"/>
          <w:szCs w:val="24"/>
        </w:rPr>
        <w:t>Constructing Cause in International Relations</w:t>
      </w:r>
      <w:r w:rsidRPr="00476F75">
        <w:rPr>
          <w:rFonts w:ascii="Garamond" w:hAnsi="Garamond" w:cs="Times New Roman"/>
          <w:b/>
          <w:iCs/>
          <w:sz w:val="24"/>
          <w:szCs w:val="24"/>
        </w:rPr>
        <w:t xml:space="preserve"> (Cambridge: Cambridge University Press, 2014)</w:t>
      </w:r>
      <w:r w:rsidR="00A17C5B">
        <w:rPr>
          <w:rFonts w:ascii="Garamond" w:hAnsi="Garamond" w:cs="Times New Roman"/>
          <w:b/>
          <w:iCs/>
          <w:sz w:val="24"/>
          <w:szCs w:val="24"/>
        </w:rPr>
        <w:t>.</w:t>
      </w:r>
      <w:r w:rsidRPr="00476F75">
        <w:rPr>
          <w:rFonts w:ascii="Garamond" w:hAnsi="Garamond" w:cs="Times New Roman"/>
          <w:b/>
          <w:iCs/>
          <w:sz w:val="24"/>
          <w:szCs w:val="24"/>
        </w:rPr>
        <w:t xml:space="preserve"> Introduction and Chapter 1</w:t>
      </w:r>
      <w:r w:rsidR="00A17C5B">
        <w:rPr>
          <w:rFonts w:ascii="Garamond" w:hAnsi="Garamond" w:cs="Times New Roman"/>
          <w:b/>
          <w:iCs/>
          <w:sz w:val="24"/>
          <w:szCs w:val="24"/>
        </w:rPr>
        <w:t xml:space="preserve">. </w:t>
      </w:r>
    </w:p>
    <w:p w14:paraId="07A6B004" w14:textId="3416FCA4" w:rsidR="00870100" w:rsidRDefault="00870100" w:rsidP="001F71B5">
      <w:pPr>
        <w:spacing w:line="240" w:lineRule="auto"/>
        <w:contextualSpacing/>
        <w:rPr>
          <w:rFonts w:ascii="Garamond" w:hAnsi="Garamond" w:cs="Times New Roman"/>
          <w:b/>
          <w:iCs/>
          <w:sz w:val="24"/>
          <w:szCs w:val="24"/>
        </w:rPr>
      </w:pPr>
    </w:p>
    <w:p w14:paraId="70E6FA2A" w14:textId="4D97D785" w:rsidR="002708F8" w:rsidRDefault="002708F8" w:rsidP="001F71B5">
      <w:pPr>
        <w:spacing w:line="240" w:lineRule="auto"/>
        <w:contextualSpacing/>
        <w:rPr>
          <w:rFonts w:ascii="Garamond" w:hAnsi="Garamond" w:cs="Times New Roman"/>
          <w:bCs/>
          <w:iCs/>
          <w:sz w:val="24"/>
          <w:szCs w:val="24"/>
        </w:rPr>
      </w:pPr>
      <w:r>
        <w:rPr>
          <w:rFonts w:ascii="Garamond" w:hAnsi="Garamond" w:cs="Times New Roman"/>
          <w:bCs/>
          <w:iCs/>
          <w:sz w:val="24"/>
          <w:szCs w:val="24"/>
        </w:rPr>
        <w:t>OPTIONAL:</w:t>
      </w:r>
    </w:p>
    <w:p w14:paraId="2A43C94F" w14:textId="77777777" w:rsidR="005740F9" w:rsidRDefault="005740F9" w:rsidP="001F71B5">
      <w:pPr>
        <w:spacing w:line="240" w:lineRule="auto"/>
        <w:contextualSpacing/>
        <w:rPr>
          <w:rFonts w:ascii="Garamond" w:hAnsi="Garamond" w:cs="Times New Roman"/>
          <w:bCs/>
          <w:iCs/>
          <w:sz w:val="24"/>
          <w:szCs w:val="24"/>
        </w:rPr>
      </w:pPr>
    </w:p>
    <w:p w14:paraId="5533F609" w14:textId="481D2AF4" w:rsidR="002708F8" w:rsidRDefault="002708F8" w:rsidP="001F71B5">
      <w:pPr>
        <w:spacing w:line="240" w:lineRule="auto"/>
        <w:contextualSpacing/>
        <w:rPr>
          <w:rFonts w:ascii="Garamond" w:hAnsi="Garamond" w:cs="Times New Roman"/>
          <w:bCs/>
          <w:iCs/>
          <w:sz w:val="24"/>
          <w:szCs w:val="24"/>
        </w:rPr>
      </w:pPr>
    </w:p>
    <w:p w14:paraId="2CFE4218" w14:textId="0976D54F" w:rsidR="00103F8D" w:rsidRDefault="00103F8D" w:rsidP="00103F8D">
      <w:pPr>
        <w:spacing w:line="240" w:lineRule="auto"/>
        <w:contextualSpacing/>
        <w:rPr>
          <w:rFonts w:ascii="Garamond" w:hAnsi="Garamond" w:cs="Times New Roman"/>
          <w:bCs/>
          <w:iCs/>
          <w:sz w:val="24"/>
          <w:szCs w:val="24"/>
        </w:rPr>
      </w:pPr>
      <w:r>
        <w:rPr>
          <w:rFonts w:ascii="Garamond" w:hAnsi="Garamond" w:cs="Times New Roman"/>
          <w:bCs/>
          <w:iCs/>
          <w:sz w:val="24"/>
          <w:szCs w:val="24"/>
        </w:rPr>
        <w:t xml:space="preserve">(I </w:t>
      </w:r>
      <w:r>
        <w:rPr>
          <w:rFonts w:ascii="Garamond" w:hAnsi="Garamond" w:cs="Times New Roman"/>
          <w:b/>
          <w:iCs/>
          <w:sz w:val="24"/>
          <w:szCs w:val="24"/>
        </w:rPr>
        <w:t>very</w:t>
      </w:r>
      <w:r>
        <w:rPr>
          <w:rFonts w:ascii="Garamond" w:hAnsi="Garamond" w:cs="Times New Roman"/>
          <w:bCs/>
          <w:iCs/>
          <w:sz w:val="24"/>
          <w:szCs w:val="24"/>
        </w:rPr>
        <w:t xml:space="preserve"> strongly recommend you read this book entirely at some point): </w:t>
      </w:r>
      <w:r w:rsidRPr="00103F8D">
        <w:rPr>
          <w:rFonts w:ascii="Garamond" w:hAnsi="Garamond" w:cs="Times New Roman"/>
          <w:bCs/>
          <w:iCs/>
          <w:sz w:val="24"/>
          <w:szCs w:val="24"/>
        </w:rPr>
        <w:t xml:space="preserve">Patrick Thaddeus Jackson, </w:t>
      </w:r>
      <w:r w:rsidRPr="00103F8D">
        <w:rPr>
          <w:rFonts w:ascii="Garamond" w:hAnsi="Garamond" w:cs="Times New Roman"/>
          <w:bCs/>
          <w:i/>
          <w:iCs/>
          <w:sz w:val="24"/>
          <w:szCs w:val="24"/>
        </w:rPr>
        <w:t>The Conduct of Inquiry in International Relations: Philosophy of Science and Its Implications for the Study of World Politics</w:t>
      </w:r>
      <w:r w:rsidRPr="00103F8D">
        <w:rPr>
          <w:rFonts w:ascii="Garamond" w:hAnsi="Garamond" w:cs="Times New Roman"/>
          <w:bCs/>
          <w:iCs/>
          <w:sz w:val="24"/>
          <w:szCs w:val="24"/>
        </w:rPr>
        <w:t>, 2nd ed. (London: Routledge, 2016).</w:t>
      </w:r>
    </w:p>
    <w:p w14:paraId="72FED6B0" w14:textId="77777777" w:rsidR="005740F9" w:rsidRDefault="005740F9" w:rsidP="00103F8D">
      <w:pPr>
        <w:spacing w:line="240" w:lineRule="auto"/>
        <w:contextualSpacing/>
        <w:rPr>
          <w:rFonts w:ascii="Garamond" w:hAnsi="Garamond" w:cs="Times New Roman"/>
          <w:bCs/>
          <w:iCs/>
          <w:sz w:val="24"/>
          <w:szCs w:val="24"/>
        </w:rPr>
      </w:pPr>
    </w:p>
    <w:p w14:paraId="67D9A6A7" w14:textId="44AB70EE" w:rsidR="005740F9" w:rsidRPr="005740F9" w:rsidRDefault="005740F9" w:rsidP="00103F8D">
      <w:pPr>
        <w:spacing w:line="240" w:lineRule="auto"/>
        <w:contextualSpacing/>
        <w:rPr>
          <w:rFonts w:ascii="Garamond" w:hAnsi="Garamond" w:cs="Times New Roman"/>
          <w:bCs/>
          <w:iCs/>
          <w:sz w:val="24"/>
          <w:szCs w:val="24"/>
        </w:rPr>
      </w:pPr>
      <w:r w:rsidRPr="005740F9">
        <w:rPr>
          <w:rFonts w:ascii="Garamond" w:hAnsi="Garamond" w:cs="Times New Roman"/>
          <w:bCs/>
          <w:iCs/>
          <w:sz w:val="24"/>
          <w:szCs w:val="24"/>
        </w:rPr>
        <w:t xml:space="preserve">Kieran Healy, “Fuck Nuance,” </w:t>
      </w:r>
      <w:r w:rsidRPr="005740F9">
        <w:rPr>
          <w:rFonts w:ascii="Garamond" w:hAnsi="Garamond" w:cs="Times New Roman"/>
          <w:bCs/>
          <w:i/>
          <w:iCs/>
          <w:sz w:val="24"/>
          <w:szCs w:val="24"/>
        </w:rPr>
        <w:t>Sociological Theory</w:t>
      </w:r>
      <w:r w:rsidRPr="005740F9">
        <w:rPr>
          <w:rFonts w:ascii="Garamond" w:hAnsi="Garamond" w:cs="Times New Roman"/>
          <w:bCs/>
          <w:iCs/>
          <w:sz w:val="24"/>
          <w:szCs w:val="24"/>
        </w:rPr>
        <w:t xml:space="preserve"> 35, no. 2 (2017): 118–27.</w:t>
      </w:r>
    </w:p>
    <w:p w14:paraId="216266F1" w14:textId="77777777" w:rsidR="005740F9" w:rsidRDefault="005740F9" w:rsidP="00103F8D">
      <w:pPr>
        <w:spacing w:line="240" w:lineRule="auto"/>
        <w:contextualSpacing/>
        <w:rPr>
          <w:rFonts w:ascii="Garamond" w:hAnsi="Garamond" w:cs="Times New Roman"/>
          <w:bCs/>
          <w:iCs/>
          <w:sz w:val="24"/>
          <w:szCs w:val="24"/>
        </w:rPr>
      </w:pPr>
    </w:p>
    <w:p w14:paraId="326829CF" w14:textId="4A485BF6" w:rsidR="005740F9" w:rsidRPr="00103F8D" w:rsidRDefault="005740F9" w:rsidP="00103F8D">
      <w:pPr>
        <w:spacing w:line="240" w:lineRule="auto"/>
        <w:contextualSpacing/>
        <w:rPr>
          <w:rFonts w:ascii="Garamond" w:hAnsi="Garamond" w:cs="Times New Roman"/>
          <w:bCs/>
          <w:iCs/>
          <w:sz w:val="24"/>
          <w:szCs w:val="24"/>
        </w:rPr>
      </w:pPr>
      <w:r w:rsidRPr="005740F9">
        <w:rPr>
          <w:rFonts w:ascii="Garamond" w:hAnsi="Garamond" w:cs="Times New Roman"/>
          <w:bCs/>
          <w:iCs/>
          <w:sz w:val="24"/>
          <w:szCs w:val="24"/>
        </w:rPr>
        <w:t xml:space="preserve">James Mahoney, “Nominal, Ordinal, and Narrative Appraisal in Macrocausal Analysis,” </w:t>
      </w:r>
      <w:r w:rsidRPr="005740F9">
        <w:rPr>
          <w:rFonts w:ascii="Garamond" w:hAnsi="Garamond" w:cs="Times New Roman"/>
          <w:bCs/>
          <w:i/>
          <w:iCs/>
          <w:sz w:val="24"/>
          <w:szCs w:val="24"/>
        </w:rPr>
        <w:t>American Journal of Sociology</w:t>
      </w:r>
      <w:r w:rsidRPr="005740F9">
        <w:rPr>
          <w:rFonts w:ascii="Garamond" w:hAnsi="Garamond" w:cs="Times New Roman"/>
          <w:bCs/>
          <w:iCs/>
          <w:sz w:val="24"/>
          <w:szCs w:val="24"/>
        </w:rPr>
        <w:t xml:space="preserve"> 104, no. 4 (January 1, 1999): 1154–96.</w:t>
      </w:r>
    </w:p>
    <w:p w14:paraId="5C8202D4" w14:textId="02B36047" w:rsidR="00103F8D" w:rsidRDefault="00103F8D" w:rsidP="001F71B5">
      <w:pPr>
        <w:spacing w:line="240" w:lineRule="auto"/>
        <w:contextualSpacing/>
        <w:rPr>
          <w:rFonts w:ascii="Garamond" w:hAnsi="Garamond" w:cs="Times New Roman"/>
          <w:bCs/>
          <w:iCs/>
          <w:sz w:val="24"/>
          <w:szCs w:val="24"/>
        </w:rPr>
      </w:pPr>
    </w:p>
    <w:p w14:paraId="36812E6E" w14:textId="79A8DE71" w:rsidR="00103F8D" w:rsidRDefault="007F5743" w:rsidP="001F71B5">
      <w:pPr>
        <w:spacing w:line="240" w:lineRule="auto"/>
        <w:contextualSpacing/>
        <w:rPr>
          <w:rFonts w:ascii="Garamond" w:hAnsi="Garamond" w:cs="Times New Roman"/>
          <w:bCs/>
          <w:iCs/>
          <w:sz w:val="24"/>
          <w:szCs w:val="24"/>
        </w:rPr>
      </w:pPr>
      <w:r w:rsidRPr="007F5743">
        <w:rPr>
          <w:rFonts w:ascii="Garamond" w:hAnsi="Garamond" w:cs="Times New Roman"/>
          <w:bCs/>
          <w:i/>
          <w:iCs/>
          <w:sz w:val="24"/>
          <w:szCs w:val="24"/>
        </w:rPr>
        <w:t>Theory and Evidence in Comparative Politics and International Relations</w:t>
      </w:r>
      <w:r w:rsidRPr="007F5743">
        <w:rPr>
          <w:rFonts w:ascii="Garamond" w:hAnsi="Garamond" w:cs="Times New Roman"/>
          <w:bCs/>
          <w:iCs/>
          <w:sz w:val="24"/>
          <w:szCs w:val="24"/>
        </w:rPr>
        <w:t>, ed. Richard Ned Lebow and Mark Irving Lichbach (New York: Palgrave Macmillan, 2007)</w:t>
      </w:r>
      <w:r w:rsidR="00353856">
        <w:rPr>
          <w:rFonts w:ascii="Garamond" w:hAnsi="Garamond" w:cs="Times New Roman"/>
          <w:bCs/>
          <w:iCs/>
          <w:sz w:val="24"/>
          <w:szCs w:val="24"/>
        </w:rPr>
        <w:t>.</w:t>
      </w:r>
    </w:p>
    <w:p w14:paraId="2B403ABE" w14:textId="5A1A62B0" w:rsidR="00BF2D43" w:rsidRDefault="00BF2D43" w:rsidP="001F71B5">
      <w:pPr>
        <w:spacing w:line="240" w:lineRule="auto"/>
        <w:contextualSpacing/>
        <w:rPr>
          <w:rFonts w:ascii="Garamond" w:hAnsi="Garamond" w:cs="Times New Roman"/>
          <w:bCs/>
          <w:iCs/>
          <w:sz w:val="24"/>
          <w:szCs w:val="24"/>
        </w:rPr>
      </w:pPr>
    </w:p>
    <w:p w14:paraId="24EDE891" w14:textId="77777777" w:rsidR="00BF2D43" w:rsidRPr="00BF2D43" w:rsidRDefault="00BF2D43" w:rsidP="00BF2D43">
      <w:pPr>
        <w:spacing w:line="240" w:lineRule="auto"/>
        <w:contextualSpacing/>
        <w:rPr>
          <w:rFonts w:ascii="Garamond" w:hAnsi="Garamond" w:cs="Times New Roman"/>
          <w:bCs/>
          <w:iCs/>
          <w:sz w:val="24"/>
          <w:szCs w:val="24"/>
        </w:rPr>
      </w:pPr>
      <w:r w:rsidRPr="00BF2D43">
        <w:rPr>
          <w:rFonts w:ascii="Garamond" w:hAnsi="Garamond" w:cs="Times New Roman"/>
          <w:bCs/>
          <w:iCs/>
          <w:sz w:val="24"/>
          <w:szCs w:val="24"/>
        </w:rPr>
        <w:t xml:space="preserve">Richard W. Miller, </w:t>
      </w:r>
      <w:r w:rsidRPr="00BF2D43">
        <w:rPr>
          <w:rFonts w:ascii="Garamond" w:hAnsi="Garamond" w:cs="Times New Roman"/>
          <w:bCs/>
          <w:i/>
          <w:iCs/>
          <w:sz w:val="24"/>
          <w:szCs w:val="24"/>
        </w:rPr>
        <w:t>Fact and Method: Explanation, Confirmation and Reality in the Natural and Social Sciences</w:t>
      </w:r>
      <w:r w:rsidRPr="00BF2D43">
        <w:rPr>
          <w:rFonts w:ascii="Garamond" w:hAnsi="Garamond" w:cs="Times New Roman"/>
          <w:bCs/>
          <w:iCs/>
          <w:sz w:val="24"/>
          <w:szCs w:val="24"/>
        </w:rPr>
        <w:t xml:space="preserve"> (Princeton, NJ: Princeton University Press, 1987).</w:t>
      </w:r>
    </w:p>
    <w:p w14:paraId="4148E7B5" w14:textId="77777777" w:rsidR="00BF2D43" w:rsidRPr="002708F8" w:rsidRDefault="00BF2D43" w:rsidP="001F71B5">
      <w:pPr>
        <w:spacing w:line="240" w:lineRule="auto"/>
        <w:contextualSpacing/>
        <w:rPr>
          <w:rFonts w:ascii="Garamond" w:hAnsi="Garamond" w:cs="Times New Roman"/>
          <w:bCs/>
          <w:iCs/>
          <w:sz w:val="24"/>
          <w:szCs w:val="24"/>
        </w:rPr>
      </w:pPr>
    </w:p>
    <w:p w14:paraId="6D2BB248" w14:textId="6F0798DF" w:rsidR="00BF2D43" w:rsidRDefault="00BF2D43" w:rsidP="00BF2D43">
      <w:pPr>
        <w:spacing w:line="240" w:lineRule="auto"/>
        <w:contextualSpacing/>
        <w:rPr>
          <w:rFonts w:ascii="Garamond" w:hAnsi="Garamond" w:cs="Times New Roman"/>
          <w:bCs/>
          <w:iCs/>
          <w:sz w:val="24"/>
          <w:szCs w:val="24"/>
        </w:rPr>
      </w:pPr>
      <w:r w:rsidRPr="00BF2D43">
        <w:rPr>
          <w:rFonts w:ascii="Garamond" w:hAnsi="Garamond" w:cs="Times New Roman"/>
          <w:bCs/>
          <w:iCs/>
          <w:sz w:val="24"/>
          <w:szCs w:val="24"/>
        </w:rPr>
        <w:t xml:space="preserve">Daniel Little, </w:t>
      </w:r>
      <w:r w:rsidRPr="00BF2D43">
        <w:rPr>
          <w:rFonts w:ascii="Garamond" w:hAnsi="Garamond" w:cs="Times New Roman"/>
          <w:bCs/>
          <w:i/>
          <w:iCs/>
          <w:sz w:val="24"/>
          <w:szCs w:val="24"/>
        </w:rPr>
        <w:t>Varieties of Social Explanation: An Introduction to the Philosophy of Social Science</w:t>
      </w:r>
      <w:r w:rsidRPr="00BF2D43">
        <w:rPr>
          <w:rFonts w:ascii="Garamond" w:hAnsi="Garamond" w:cs="Times New Roman"/>
          <w:bCs/>
          <w:iCs/>
          <w:sz w:val="24"/>
          <w:szCs w:val="24"/>
        </w:rPr>
        <w:t xml:space="preserve"> (Boulder, CO: Westview Press, 1991).</w:t>
      </w:r>
    </w:p>
    <w:p w14:paraId="11809CB3" w14:textId="0E0831E8" w:rsidR="00AE68E5" w:rsidRDefault="00AE68E5" w:rsidP="00BF2D43">
      <w:pPr>
        <w:spacing w:line="240" w:lineRule="auto"/>
        <w:contextualSpacing/>
        <w:rPr>
          <w:rFonts w:ascii="Garamond" w:hAnsi="Garamond" w:cs="Times New Roman"/>
          <w:bCs/>
          <w:iCs/>
          <w:sz w:val="24"/>
          <w:szCs w:val="24"/>
        </w:rPr>
      </w:pPr>
    </w:p>
    <w:p w14:paraId="28992209" w14:textId="77777777" w:rsidR="00AE68E5" w:rsidRPr="00476F75" w:rsidRDefault="00AE68E5" w:rsidP="00AE68E5">
      <w:pPr>
        <w:spacing w:line="240" w:lineRule="auto"/>
        <w:contextualSpacing/>
        <w:rPr>
          <w:rFonts w:ascii="Garamond" w:hAnsi="Garamond" w:cs="Times New Roman"/>
          <w:b/>
          <w:bCs/>
          <w:i/>
          <w:iCs/>
          <w:sz w:val="24"/>
          <w:szCs w:val="24"/>
        </w:rPr>
      </w:pPr>
      <w:r w:rsidRPr="00476F75">
        <w:rPr>
          <w:rFonts w:ascii="Garamond" w:hAnsi="Garamond" w:cs="Times New Roman"/>
          <w:b/>
          <w:bCs/>
          <w:i/>
          <w:iCs/>
          <w:sz w:val="24"/>
          <w:szCs w:val="24"/>
        </w:rPr>
        <w:t xml:space="preserve">How do I write a grant proposal? </w:t>
      </w:r>
    </w:p>
    <w:p w14:paraId="15BB7E93" w14:textId="77777777" w:rsidR="00AE68E5" w:rsidRPr="00476F75" w:rsidRDefault="00AE68E5" w:rsidP="00AE68E5">
      <w:pPr>
        <w:spacing w:line="240" w:lineRule="auto"/>
        <w:contextualSpacing/>
        <w:rPr>
          <w:rFonts w:ascii="Garamond" w:hAnsi="Garamond" w:cs="Times New Roman"/>
          <w:b/>
          <w:bCs/>
          <w:sz w:val="24"/>
          <w:szCs w:val="24"/>
        </w:rPr>
      </w:pPr>
    </w:p>
    <w:p w14:paraId="1FCBC512" w14:textId="1CBEBEEE" w:rsidR="00AE68E5" w:rsidRPr="00476F75" w:rsidRDefault="00AE68E5" w:rsidP="00AE68E5">
      <w:pPr>
        <w:spacing w:line="240" w:lineRule="auto"/>
        <w:contextualSpacing/>
        <w:rPr>
          <w:rFonts w:ascii="Garamond" w:hAnsi="Garamond" w:cs="Times New Roman"/>
          <w:b/>
          <w:bCs/>
          <w:sz w:val="24"/>
          <w:szCs w:val="24"/>
        </w:rPr>
      </w:pPr>
      <w:r w:rsidRPr="00476F75">
        <w:rPr>
          <w:rFonts w:ascii="Garamond" w:hAnsi="Garamond" w:cs="Times New Roman"/>
          <w:b/>
          <w:bCs/>
          <w:sz w:val="24"/>
          <w:szCs w:val="24"/>
        </w:rPr>
        <w:t>Michael</w:t>
      </w:r>
      <w:r w:rsidR="00353856">
        <w:rPr>
          <w:rFonts w:ascii="Garamond" w:hAnsi="Garamond" w:cs="Times New Roman"/>
          <w:b/>
          <w:bCs/>
          <w:sz w:val="24"/>
          <w:szCs w:val="24"/>
        </w:rPr>
        <w:t xml:space="preserve"> </w:t>
      </w:r>
      <w:r w:rsidR="00353856" w:rsidRPr="00476F75">
        <w:rPr>
          <w:rFonts w:ascii="Garamond" w:hAnsi="Garamond" w:cs="Times New Roman"/>
          <w:b/>
          <w:bCs/>
          <w:sz w:val="24"/>
          <w:szCs w:val="24"/>
        </w:rPr>
        <w:t>Watts</w:t>
      </w:r>
      <w:r w:rsidR="00353856">
        <w:rPr>
          <w:rFonts w:ascii="Garamond" w:hAnsi="Garamond" w:cs="Times New Roman"/>
          <w:b/>
          <w:bCs/>
          <w:sz w:val="24"/>
          <w:szCs w:val="24"/>
        </w:rPr>
        <w:t>,</w:t>
      </w:r>
      <w:r w:rsidRPr="00476F75">
        <w:rPr>
          <w:rFonts w:ascii="Garamond" w:hAnsi="Garamond" w:cs="Times New Roman"/>
          <w:b/>
          <w:bCs/>
          <w:sz w:val="24"/>
          <w:szCs w:val="24"/>
        </w:rPr>
        <w:t xml:space="preserve"> </w:t>
      </w:r>
      <w:r w:rsidR="00353856">
        <w:rPr>
          <w:rFonts w:ascii="Garamond" w:hAnsi="Garamond" w:cs="Times New Roman"/>
          <w:b/>
          <w:bCs/>
          <w:sz w:val="24"/>
          <w:szCs w:val="24"/>
        </w:rPr>
        <w:t>“</w:t>
      </w:r>
      <w:r w:rsidRPr="00353856">
        <w:rPr>
          <w:rFonts w:ascii="Garamond" w:hAnsi="Garamond" w:cs="Times New Roman"/>
          <w:b/>
          <w:bCs/>
          <w:sz w:val="24"/>
          <w:szCs w:val="24"/>
        </w:rPr>
        <w:t>The Holy Grail: In Pursuit of the Dissertation Proposal</w:t>
      </w:r>
      <w:r w:rsidR="00353856">
        <w:rPr>
          <w:rFonts w:ascii="Garamond" w:hAnsi="Garamond" w:cs="Times New Roman"/>
          <w:b/>
          <w:bCs/>
          <w:sz w:val="24"/>
          <w:szCs w:val="24"/>
        </w:rPr>
        <w:t>”</w:t>
      </w:r>
      <w:r w:rsidRPr="00476F75">
        <w:rPr>
          <w:rFonts w:ascii="Garamond" w:hAnsi="Garamond" w:cs="Times New Roman"/>
          <w:b/>
          <w:bCs/>
          <w:sz w:val="24"/>
          <w:szCs w:val="24"/>
        </w:rPr>
        <w:t xml:space="preserve"> </w:t>
      </w:r>
      <w:r w:rsidR="00353856">
        <w:rPr>
          <w:rFonts w:ascii="Garamond" w:hAnsi="Garamond" w:cs="Times New Roman"/>
          <w:b/>
          <w:bCs/>
          <w:sz w:val="24"/>
          <w:szCs w:val="24"/>
        </w:rPr>
        <w:t xml:space="preserve">(Institute of International Studies’ Online Dissertation Proposal Workshop, </w:t>
      </w:r>
      <w:r w:rsidRPr="00476F75">
        <w:rPr>
          <w:rFonts w:ascii="Garamond" w:hAnsi="Garamond" w:cs="Times New Roman"/>
          <w:b/>
          <w:bCs/>
          <w:sz w:val="24"/>
          <w:szCs w:val="24"/>
        </w:rPr>
        <w:t>Berkeley: University of California Berkeley</w:t>
      </w:r>
      <w:r w:rsidR="00353856">
        <w:rPr>
          <w:rFonts w:ascii="Garamond" w:hAnsi="Garamond" w:cs="Times New Roman"/>
          <w:b/>
          <w:bCs/>
          <w:sz w:val="24"/>
          <w:szCs w:val="24"/>
        </w:rPr>
        <w:t>, 2001)</w:t>
      </w:r>
      <w:r w:rsidRPr="00476F75">
        <w:rPr>
          <w:rFonts w:ascii="Garamond" w:hAnsi="Garamond" w:cs="Times New Roman"/>
          <w:b/>
          <w:bCs/>
          <w:sz w:val="24"/>
          <w:szCs w:val="24"/>
        </w:rPr>
        <w:t xml:space="preserve">. </w:t>
      </w:r>
    </w:p>
    <w:p w14:paraId="2ED35743" w14:textId="2332C405" w:rsidR="00AE68E5" w:rsidRDefault="00AE68E5" w:rsidP="00BF2D43">
      <w:pPr>
        <w:spacing w:line="240" w:lineRule="auto"/>
        <w:contextualSpacing/>
        <w:rPr>
          <w:rFonts w:ascii="Garamond" w:hAnsi="Garamond" w:cs="Times New Roman"/>
          <w:b/>
          <w:bCs/>
          <w:sz w:val="24"/>
          <w:szCs w:val="24"/>
        </w:rPr>
      </w:pPr>
    </w:p>
    <w:p w14:paraId="1CCE7606" w14:textId="413C9A30" w:rsidR="00CD6DEA" w:rsidRDefault="005841DA" w:rsidP="00BF2D43">
      <w:pPr>
        <w:spacing w:line="240" w:lineRule="auto"/>
        <w:contextualSpacing/>
        <w:rPr>
          <w:rFonts w:ascii="Garamond" w:hAnsi="Garamond" w:cs="Times New Roman"/>
          <w:b/>
          <w:bCs/>
          <w:sz w:val="24"/>
          <w:szCs w:val="24"/>
        </w:rPr>
      </w:pPr>
      <w:r>
        <w:rPr>
          <w:rFonts w:ascii="Garamond" w:hAnsi="Garamond" w:cs="Times New Roman"/>
          <w:b/>
          <w:bCs/>
          <w:sz w:val="24"/>
          <w:szCs w:val="24"/>
        </w:rPr>
        <w:t xml:space="preserve">Adam Przeworski and Frank Salomon, “On the Art of Writing Proposals: Some Candid Suggestions for Applicants to Social Science Research Council Competitions” (Social Science Research Council, 1988). </w:t>
      </w:r>
    </w:p>
    <w:p w14:paraId="0A022E53" w14:textId="1E0A7566" w:rsidR="00CD6DEA" w:rsidRDefault="008427E8" w:rsidP="00BF2D43">
      <w:pPr>
        <w:spacing w:line="240" w:lineRule="auto"/>
        <w:contextualSpacing/>
        <w:rPr>
          <w:rFonts w:ascii="Garamond" w:hAnsi="Garamond" w:cs="Times New Roman"/>
          <w:b/>
          <w:bCs/>
          <w:sz w:val="24"/>
          <w:szCs w:val="24"/>
        </w:rPr>
      </w:pPr>
      <w:r>
        <w:rPr>
          <w:rFonts w:ascii="Garamond" w:hAnsi="Garamond" w:cs="Times New Roman"/>
          <w:b/>
          <w:bCs/>
          <w:sz w:val="24"/>
          <w:szCs w:val="24"/>
        </w:rPr>
        <w:t>Micah Altman,</w:t>
      </w:r>
      <w:r w:rsidR="00CD6DEA" w:rsidRPr="00CD6DEA">
        <w:rPr>
          <w:rFonts w:ascii="Garamond" w:hAnsi="Garamond" w:cs="Times New Roman"/>
          <w:b/>
          <w:bCs/>
          <w:sz w:val="24"/>
          <w:szCs w:val="24"/>
        </w:rPr>
        <w:t xml:space="preserve"> </w:t>
      </w:r>
      <w:r w:rsidR="005841DA">
        <w:rPr>
          <w:rFonts w:ascii="Garamond" w:hAnsi="Garamond" w:cs="Times New Roman"/>
          <w:b/>
          <w:bCs/>
          <w:sz w:val="24"/>
          <w:szCs w:val="24"/>
        </w:rPr>
        <w:t>“</w:t>
      </w:r>
      <w:r w:rsidR="00CD6DEA" w:rsidRPr="00CD6DEA">
        <w:rPr>
          <w:rFonts w:ascii="Garamond" w:hAnsi="Garamond" w:cs="Times New Roman"/>
          <w:b/>
          <w:bCs/>
          <w:sz w:val="24"/>
          <w:szCs w:val="24"/>
        </w:rPr>
        <w:t>Funding, Funding</w:t>
      </w:r>
      <w:r w:rsidR="005841DA">
        <w:rPr>
          <w:rFonts w:ascii="Garamond" w:hAnsi="Garamond" w:cs="Times New Roman"/>
          <w:b/>
          <w:bCs/>
          <w:sz w:val="24"/>
          <w:szCs w:val="24"/>
        </w:rPr>
        <w:t>,”</w:t>
      </w:r>
      <w:r w:rsidR="00CD6DEA" w:rsidRPr="00CD6DEA">
        <w:rPr>
          <w:rFonts w:ascii="Garamond" w:hAnsi="Garamond" w:cs="Times New Roman"/>
          <w:b/>
          <w:bCs/>
          <w:sz w:val="24"/>
          <w:szCs w:val="24"/>
        </w:rPr>
        <w:t xml:space="preserve"> </w:t>
      </w:r>
      <w:r w:rsidR="00CD6DEA" w:rsidRPr="008427E8">
        <w:rPr>
          <w:rFonts w:ascii="Garamond" w:hAnsi="Garamond" w:cs="Times New Roman"/>
          <w:b/>
          <w:bCs/>
          <w:i/>
          <w:iCs/>
          <w:sz w:val="24"/>
          <w:szCs w:val="24"/>
        </w:rPr>
        <w:t>PS: Political Science &amp; Politics</w:t>
      </w:r>
      <w:r w:rsidR="00CD6DEA" w:rsidRPr="00CD6DEA">
        <w:rPr>
          <w:rFonts w:ascii="Garamond" w:hAnsi="Garamond" w:cs="Times New Roman"/>
          <w:b/>
          <w:bCs/>
          <w:sz w:val="24"/>
          <w:szCs w:val="24"/>
        </w:rPr>
        <w:t xml:space="preserve"> 42</w:t>
      </w:r>
      <w:r w:rsidR="005841DA">
        <w:rPr>
          <w:rFonts w:ascii="Garamond" w:hAnsi="Garamond" w:cs="Times New Roman"/>
          <w:b/>
          <w:bCs/>
          <w:sz w:val="24"/>
          <w:szCs w:val="24"/>
        </w:rPr>
        <w:t>, no. 3 (2009):</w:t>
      </w:r>
      <w:r w:rsidR="00CD6DEA" w:rsidRPr="00CD6DEA">
        <w:rPr>
          <w:rFonts w:ascii="Garamond" w:hAnsi="Garamond" w:cs="Times New Roman"/>
          <w:b/>
          <w:bCs/>
          <w:sz w:val="24"/>
          <w:szCs w:val="24"/>
        </w:rPr>
        <w:t xml:space="preserve"> 521-526. </w:t>
      </w:r>
    </w:p>
    <w:p w14:paraId="15BD8A92" w14:textId="77777777" w:rsidR="001B1C19" w:rsidRDefault="001B1C19" w:rsidP="00BF2D43">
      <w:pPr>
        <w:spacing w:line="240" w:lineRule="auto"/>
        <w:contextualSpacing/>
        <w:rPr>
          <w:rFonts w:ascii="Garamond" w:hAnsi="Garamond" w:cs="Times New Roman"/>
          <w:b/>
          <w:bCs/>
          <w:sz w:val="24"/>
          <w:szCs w:val="24"/>
        </w:rPr>
      </w:pPr>
    </w:p>
    <w:p w14:paraId="0DD2DB17" w14:textId="24C9E18B" w:rsidR="00BF2D43" w:rsidRPr="00A778C3" w:rsidRDefault="00BF2D43" w:rsidP="001F71B5">
      <w:pPr>
        <w:spacing w:line="240" w:lineRule="auto"/>
        <w:contextualSpacing/>
        <w:rPr>
          <w:rFonts w:ascii="Garamond" w:hAnsi="Garamond" w:cs="Times New Roman"/>
          <w:b/>
          <w:bCs/>
          <w:sz w:val="24"/>
          <w:szCs w:val="24"/>
        </w:rPr>
      </w:pPr>
    </w:p>
    <w:p w14:paraId="6E67BD9D" w14:textId="77777777" w:rsidR="00016483" w:rsidRPr="00870100" w:rsidRDefault="00016483" w:rsidP="00016483">
      <w:pPr>
        <w:spacing w:line="240" w:lineRule="auto"/>
        <w:contextualSpacing/>
        <w:rPr>
          <w:rFonts w:ascii="Garamond" w:hAnsi="Garamond" w:cs="Times New Roman"/>
          <w:sz w:val="24"/>
          <w:szCs w:val="24"/>
        </w:rPr>
      </w:pPr>
      <w:r w:rsidRPr="00870100">
        <w:rPr>
          <w:rFonts w:ascii="Garamond" w:hAnsi="Garamond" w:cs="Times New Roman"/>
          <w:b/>
          <w:i/>
          <w:sz w:val="24"/>
          <w:szCs w:val="24"/>
        </w:rPr>
        <w:t xml:space="preserve">February 13: </w:t>
      </w:r>
    </w:p>
    <w:p w14:paraId="18A508CA" w14:textId="13F90169" w:rsidR="001F71B5" w:rsidRPr="00016483" w:rsidRDefault="001F71B5" w:rsidP="001F71B5">
      <w:pPr>
        <w:spacing w:line="240" w:lineRule="auto"/>
        <w:contextualSpacing/>
        <w:rPr>
          <w:rFonts w:ascii="Garamond" w:hAnsi="Garamond" w:cs="Times New Roman"/>
          <w:bCs/>
          <w:i/>
          <w:sz w:val="24"/>
          <w:szCs w:val="24"/>
        </w:rPr>
      </w:pPr>
    </w:p>
    <w:p w14:paraId="5B8F1792" w14:textId="43989116" w:rsidR="008B46D1" w:rsidRPr="00581C95" w:rsidRDefault="00B9458A" w:rsidP="001F71B5">
      <w:pPr>
        <w:spacing w:line="240" w:lineRule="auto"/>
        <w:contextualSpacing/>
        <w:rPr>
          <w:rFonts w:ascii="Garamond" w:hAnsi="Garamond" w:cs="Times New Roman"/>
          <w:b/>
          <w:i/>
          <w:sz w:val="24"/>
          <w:szCs w:val="24"/>
        </w:rPr>
      </w:pPr>
      <w:r>
        <w:rPr>
          <w:rFonts w:ascii="Garamond" w:hAnsi="Garamond" w:cs="Times New Roman"/>
          <w:b/>
          <w:i/>
          <w:sz w:val="24"/>
          <w:szCs w:val="24"/>
        </w:rPr>
        <w:t>Qualitative and quantitative neopositivism</w:t>
      </w:r>
    </w:p>
    <w:p w14:paraId="1983D3CC" w14:textId="051FEAE5" w:rsidR="008B46D1" w:rsidRPr="00581C95" w:rsidRDefault="008B46D1" w:rsidP="001F71B5">
      <w:pPr>
        <w:spacing w:line="240" w:lineRule="auto"/>
        <w:contextualSpacing/>
        <w:rPr>
          <w:rFonts w:ascii="Garamond" w:hAnsi="Garamond" w:cs="Times New Roman"/>
          <w:b/>
          <w:i/>
          <w:sz w:val="24"/>
          <w:szCs w:val="24"/>
        </w:rPr>
      </w:pPr>
    </w:p>
    <w:p w14:paraId="348318CD" w14:textId="40BEF462" w:rsidR="00941D48" w:rsidRPr="00581C95" w:rsidRDefault="00941D48" w:rsidP="001F71B5">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Gary Goertz and James Mahoney, </w:t>
      </w:r>
      <w:r w:rsidRPr="00581C95">
        <w:rPr>
          <w:rFonts w:ascii="Garamond" w:hAnsi="Garamond" w:cs="Times New Roman"/>
          <w:b/>
          <w:i/>
          <w:iCs/>
          <w:sz w:val="24"/>
          <w:szCs w:val="24"/>
        </w:rPr>
        <w:t>A Tale of Two Cultures: Qualitative and Quantitative Research in the Social Sciences</w:t>
      </w:r>
      <w:r w:rsidRPr="00581C95">
        <w:rPr>
          <w:rFonts w:ascii="Garamond" w:hAnsi="Garamond" w:cs="Times New Roman"/>
          <w:b/>
          <w:iCs/>
          <w:sz w:val="24"/>
          <w:szCs w:val="24"/>
        </w:rPr>
        <w:t xml:space="preserve"> (Princeton, NJ: Princeton University Press, 2012)</w:t>
      </w:r>
      <w:r w:rsidR="00B9180C">
        <w:rPr>
          <w:rFonts w:ascii="Garamond" w:hAnsi="Garamond" w:cs="Times New Roman"/>
          <w:b/>
          <w:iCs/>
          <w:sz w:val="24"/>
          <w:szCs w:val="24"/>
        </w:rPr>
        <w:t>.</w:t>
      </w:r>
      <w:r w:rsidRPr="00581C95">
        <w:rPr>
          <w:rFonts w:ascii="Garamond" w:hAnsi="Garamond" w:cs="Times New Roman"/>
          <w:b/>
          <w:iCs/>
          <w:sz w:val="24"/>
          <w:szCs w:val="24"/>
        </w:rPr>
        <w:t xml:space="preserve"> </w:t>
      </w:r>
      <w:r w:rsidR="00B9180C">
        <w:rPr>
          <w:rFonts w:ascii="Garamond" w:hAnsi="Garamond" w:cs="Times New Roman"/>
          <w:b/>
          <w:iCs/>
          <w:sz w:val="24"/>
          <w:szCs w:val="24"/>
        </w:rPr>
        <w:t>C</w:t>
      </w:r>
      <w:r w:rsidRPr="00581C95">
        <w:rPr>
          <w:rFonts w:ascii="Garamond" w:hAnsi="Garamond" w:cs="Times New Roman"/>
          <w:b/>
          <w:iCs/>
          <w:sz w:val="24"/>
          <w:szCs w:val="24"/>
        </w:rPr>
        <w:t>hapters 1, 3</w:t>
      </w:r>
      <w:r w:rsidR="00B9180C">
        <w:rPr>
          <w:rFonts w:ascii="Garamond" w:hAnsi="Garamond" w:cs="Times New Roman"/>
          <w:b/>
          <w:iCs/>
          <w:sz w:val="24"/>
          <w:szCs w:val="24"/>
        </w:rPr>
        <w:t>–</w:t>
      </w:r>
      <w:r w:rsidRPr="00581C95">
        <w:rPr>
          <w:rFonts w:ascii="Garamond" w:hAnsi="Garamond" w:cs="Times New Roman"/>
          <w:b/>
          <w:iCs/>
          <w:sz w:val="24"/>
          <w:szCs w:val="24"/>
        </w:rPr>
        <w:t xml:space="preserve">7, 15, </w:t>
      </w:r>
      <w:r w:rsidR="00B9180C">
        <w:rPr>
          <w:rFonts w:ascii="Garamond" w:hAnsi="Garamond" w:cs="Times New Roman"/>
          <w:b/>
          <w:iCs/>
          <w:sz w:val="24"/>
          <w:szCs w:val="24"/>
        </w:rPr>
        <w:t>and C</w:t>
      </w:r>
      <w:r w:rsidRPr="00581C95">
        <w:rPr>
          <w:rFonts w:ascii="Garamond" w:hAnsi="Garamond" w:cs="Times New Roman"/>
          <w:b/>
          <w:iCs/>
          <w:sz w:val="24"/>
          <w:szCs w:val="24"/>
        </w:rPr>
        <w:t>onclusion</w:t>
      </w:r>
      <w:r w:rsidR="00B9180C">
        <w:rPr>
          <w:rFonts w:ascii="Garamond" w:hAnsi="Garamond" w:cs="Times New Roman"/>
          <w:b/>
          <w:iCs/>
          <w:sz w:val="24"/>
          <w:szCs w:val="24"/>
        </w:rPr>
        <w:t xml:space="preserve">. </w:t>
      </w:r>
    </w:p>
    <w:p w14:paraId="5BC621AD" w14:textId="77777777" w:rsidR="00941D48" w:rsidRPr="00581C95" w:rsidRDefault="00941D48" w:rsidP="001F71B5">
      <w:pPr>
        <w:spacing w:line="240" w:lineRule="auto"/>
        <w:contextualSpacing/>
        <w:rPr>
          <w:rFonts w:ascii="Garamond" w:hAnsi="Garamond" w:cs="Times New Roman"/>
          <w:b/>
          <w:i/>
          <w:sz w:val="24"/>
          <w:szCs w:val="24"/>
        </w:rPr>
      </w:pPr>
    </w:p>
    <w:p w14:paraId="2EF0807D" w14:textId="069B39BB" w:rsidR="00B84B57" w:rsidRPr="00581C95" w:rsidRDefault="002B0655" w:rsidP="002B0655">
      <w:pPr>
        <w:rPr>
          <w:rFonts w:ascii="Garamond" w:hAnsi="Garamond" w:cs="Times New Roman"/>
          <w:b/>
          <w:sz w:val="24"/>
          <w:szCs w:val="24"/>
        </w:rPr>
      </w:pPr>
      <w:r w:rsidRPr="00581C95">
        <w:rPr>
          <w:rFonts w:ascii="Garamond" w:hAnsi="Garamond" w:cs="Times New Roman"/>
          <w:b/>
          <w:sz w:val="24"/>
          <w:szCs w:val="24"/>
        </w:rPr>
        <w:t xml:space="preserve">Timothy McKeown, “Case Studies and the Limits of the Quantitative Worldview,” in </w:t>
      </w:r>
      <w:r w:rsidRPr="00581C95">
        <w:rPr>
          <w:rFonts w:ascii="Garamond" w:hAnsi="Garamond" w:cs="Times New Roman"/>
          <w:b/>
          <w:i/>
          <w:iCs/>
          <w:sz w:val="24"/>
          <w:szCs w:val="24"/>
        </w:rPr>
        <w:t>Rethinking Social Inquiry: Diverse Tools, Shared Standards</w:t>
      </w:r>
      <w:r w:rsidRPr="00581C95">
        <w:rPr>
          <w:rFonts w:ascii="Garamond" w:hAnsi="Garamond" w:cs="Times New Roman"/>
          <w:b/>
          <w:sz w:val="24"/>
          <w:szCs w:val="24"/>
        </w:rPr>
        <w:t>, ed. Henry E. Brady and David Collier (Lanham, MD: Rowman &amp; Littlefield, 2004), 139–67</w:t>
      </w:r>
      <w:r w:rsidR="00B9180C">
        <w:rPr>
          <w:rFonts w:ascii="Garamond" w:hAnsi="Garamond" w:cs="Times New Roman"/>
          <w:b/>
          <w:sz w:val="24"/>
          <w:szCs w:val="24"/>
        </w:rPr>
        <w:t xml:space="preserve"> (</w:t>
      </w:r>
      <w:r w:rsidRPr="00581C95">
        <w:rPr>
          <w:rFonts w:ascii="Garamond" w:hAnsi="Garamond" w:cs="Times New Roman"/>
          <w:b/>
          <w:sz w:val="24"/>
          <w:szCs w:val="24"/>
        </w:rPr>
        <w:t>Chapter 9</w:t>
      </w:r>
      <w:r w:rsidR="00B9180C">
        <w:rPr>
          <w:rFonts w:ascii="Garamond" w:hAnsi="Garamond" w:cs="Times New Roman"/>
          <w:b/>
          <w:sz w:val="24"/>
          <w:szCs w:val="24"/>
        </w:rPr>
        <w:t>).</w:t>
      </w:r>
    </w:p>
    <w:p w14:paraId="0C07B635" w14:textId="48B27C5F" w:rsidR="009F39B2" w:rsidRPr="00581C95" w:rsidRDefault="009F39B2" w:rsidP="009F39B2">
      <w:pPr>
        <w:rPr>
          <w:rFonts w:ascii="Garamond" w:hAnsi="Garamond" w:cs="Times New Roman"/>
          <w:b/>
          <w:sz w:val="24"/>
          <w:szCs w:val="24"/>
        </w:rPr>
      </w:pPr>
      <w:r w:rsidRPr="00581C95">
        <w:rPr>
          <w:rFonts w:ascii="Garamond" w:hAnsi="Garamond" w:cs="Times New Roman"/>
          <w:b/>
          <w:sz w:val="24"/>
          <w:szCs w:val="24"/>
        </w:rPr>
        <w:t xml:space="preserve">Henry E. Brady, “Doing Good and Doing Better: How Far Does the Quantitative Template Get Us?,” in </w:t>
      </w:r>
      <w:r w:rsidRPr="00581C95">
        <w:rPr>
          <w:rFonts w:ascii="Garamond" w:hAnsi="Garamond" w:cs="Times New Roman"/>
          <w:b/>
          <w:i/>
          <w:iCs/>
          <w:sz w:val="24"/>
          <w:szCs w:val="24"/>
        </w:rPr>
        <w:t>Rethinking Social Inquiry: Diverse Tools, Shared Standards</w:t>
      </w:r>
      <w:r w:rsidRPr="00581C95">
        <w:rPr>
          <w:rFonts w:ascii="Garamond" w:hAnsi="Garamond" w:cs="Times New Roman"/>
          <w:b/>
          <w:sz w:val="24"/>
          <w:szCs w:val="24"/>
        </w:rPr>
        <w:t>, ed. Henry E. Brady and David Collier, 2nd ed. (Rowman &amp; Littlefield, 2010), 67–82</w:t>
      </w:r>
      <w:r w:rsidR="00B9180C">
        <w:rPr>
          <w:rFonts w:ascii="Garamond" w:hAnsi="Garamond" w:cs="Times New Roman"/>
          <w:b/>
          <w:sz w:val="24"/>
          <w:szCs w:val="24"/>
        </w:rPr>
        <w:t xml:space="preserve"> (</w:t>
      </w:r>
      <w:r w:rsidRPr="00581C95">
        <w:rPr>
          <w:rFonts w:ascii="Garamond" w:hAnsi="Garamond" w:cs="Times New Roman"/>
          <w:b/>
          <w:sz w:val="24"/>
          <w:szCs w:val="24"/>
        </w:rPr>
        <w:t>Chapter 3</w:t>
      </w:r>
      <w:r w:rsidR="00B9180C">
        <w:rPr>
          <w:rFonts w:ascii="Garamond" w:hAnsi="Garamond" w:cs="Times New Roman"/>
          <w:b/>
          <w:sz w:val="24"/>
          <w:szCs w:val="24"/>
        </w:rPr>
        <w:t xml:space="preserve">). </w:t>
      </w:r>
    </w:p>
    <w:p w14:paraId="353618FA" w14:textId="77777777" w:rsidR="009F39B2" w:rsidRPr="00581C95" w:rsidRDefault="009F39B2" w:rsidP="009F39B2">
      <w:pPr>
        <w:rPr>
          <w:rFonts w:ascii="Garamond" w:hAnsi="Garamond" w:cs="Times New Roman"/>
          <w:b/>
          <w:sz w:val="24"/>
          <w:szCs w:val="24"/>
        </w:rPr>
      </w:pPr>
      <w:r w:rsidRPr="00581C95">
        <w:rPr>
          <w:rFonts w:ascii="Garamond" w:hAnsi="Garamond" w:cs="Times New Roman"/>
          <w:b/>
          <w:sz w:val="24"/>
          <w:szCs w:val="24"/>
        </w:rPr>
        <w:t xml:space="preserve">Cassandra V. Emmons and Andrew M. Moravcsik, “Graduate Qualitative Methods Training in Political Science: A Disciplinary Crisis,” </w:t>
      </w:r>
      <w:r w:rsidRPr="00581C95">
        <w:rPr>
          <w:rFonts w:ascii="Garamond" w:hAnsi="Garamond" w:cs="Times New Roman"/>
          <w:b/>
          <w:i/>
          <w:iCs/>
          <w:sz w:val="24"/>
          <w:szCs w:val="24"/>
        </w:rPr>
        <w:t>PS: Political Science &amp; Politics</w:t>
      </w:r>
      <w:r w:rsidRPr="00581C95">
        <w:rPr>
          <w:rFonts w:ascii="Garamond" w:hAnsi="Garamond" w:cs="Times New Roman"/>
          <w:b/>
          <w:sz w:val="24"/>
          <w:szCs w:val="24"/>
        </w:rPr>
        <w:t xml:space="preserve"> 53, no. 2 (2020): 258–64.</w:t>
      </w:r>
    </w:p>
    <w:p w14:paraId="2FEAD673" w14:textId="4515812A" w:rsidR="008B46D1" w:rsidRDefault="00941D48" w:rsidP="001F71B5">
      <w:pPr>
        <w:spacing w:line="240" w:lineRule="auto"/>
        <w:contextualSpacing/>
        <w:rPr>
          <w:rFonts w:ascii="Garamond" w:hAnsi="Garamond" w:cs="Times New Roman"/>
          <w:bCs/>
          <w:iCs/>
          <w:sz w:val="24"/>
          <w:szCs w:val="24"/>
        </w:rPr>
      </w:pPr>
      <w:r>
        <w:rPr>
          <w:rFonts w:ascii="Garamond" w:hAnsi="Garamond" w:cs="Times New Roman"/>
          <w:bCs/>
          <w:iCs/>
          <w:sz w:val="24"/>
          <w:szCs w:val="24"/>
        </w:rPr>
        <w:t>OPTIONAL:</w:t>
      </w:r>
    </w:p>
    <w:p w14:paraId="1A70A471" w14:textId="77777777" w:rsidR="001E5057" w:rsidRDefault="001E5057" w:rsidP="001F71B5">
      <w:pPr>
        <w:spacing w:line="240" w:lineRule="auto"/>
        <w:contextualSpacing/>
        <w:rPr>
          <w:rFonts w:ascii="Garamond" w:hAnsi="Garamond" w:cs="Times New Roman"/>
          <w:bCs/>
          <w:iCs/>
          <w:sz w:val="24"/>
          <w:szCs w:val="24"/>
        </w:rPr>
      </w:pPr>
    </w:p>
    <w:p w14:paraId="7B6A8916" w14:textId="77777777" w:rsidR="001E5057" w:rsidRPr="001E5057" w:rsidRDefault="001E5057" w:rsidP="001E5057">
      <w:pPr>
        <w:rPr>
          <w:rFonts w:ascii="Garamond" w:hAnsi="Garamond" w:cs="Times New Roman"/>
          <w:bCs/>
          <w:sz w:val="24"/>
          <w:szCs w:val="24"/>
        </w:rPr>
      </w:pPr>
      <w:r w:rsidRPr="001E5057">
        <w:rPr>
          <w:rFonts w:ascii="Garamond" w:hAnsi="Garamond" w:cs="Times New Roman"/>
          <w:bCs/>
          <w:sz w:val="24"/>
          <w:szCs w:val="24"/>
        </w:rPr>
        <w:t xml:space="preserve">James Mahoney, “After KKV: The New Methodology of Qualitative Research,” </w:t>
      </w:r>
      <w:r w:rsidRPr="001E5057">
        <w:rPr>
          <w:rFonts w:ascii="Garamond" w:hAnsi="Garamond" w:cs="Times New Roman"/>
          <w:bCs/>
          <w:i/>
          <w:iCs/>
          <w:sz w:val="24"/>
          <w:szCs w:val="24"/>
        </w:rPr>
        <w:t>World Politics</w:t>
      </w:r>
      <w:r w:rsidRPr="001E5057">
        <w:rPr>
          <w:rFonts w:ascii="Garamond" w:hAnsi="Garamond" w:cs="Times New Roman"/>
          <w:bCs/>
          <w:sz w:val="24"/>
          <w:szCs w:val="24"/>
        </w:rPr>
        <w:t xml:space="preserve"> 62, no. 1 (2010): 120–47.</w:t>
      </w:r>
    </w:p>
    <w:p w14:paraId="235E803E" w14:textId="77777777" w:rsidR="001E5057" w:rsidRDefault="001E5057" w:rsidP="001F71B5">
      <w:pPr>
        <w:spacing w:line="240" w:lineRule="auto"/>
        <w:contextualSpacing/>
        <w:rPr>
          <w:rFonts w:ascii="Garamond" w:hAnsi="Garamond" w:cs="Times New Roman"/>
          <w:bCs/>
          <w:iCs/>
          <w:sz w:val="24"/>
          <w:szCs w:val="24"/>
        </w:rPr>
      </w:pPr>
    </w:p>
    <w:p w14:paraId="0FEC701B" w14:textId="77777777" w:rsidR="00095A20" w:rsidRDefault="00095A20" w:rsidP="001F71B5">
      <w:pPr>
        <w:spacing w:line="240" w:lineRule="auto"/>
        <w:contextualSpacing/>
        <w:rPr>
          <w:rFonts w:ascii="Garamond" w:hAnsi="Garamond" w:cs="Times New Roman"/>
          <w:bCs/>
          <w:iCs/>
          <w:sz w:val="24"/>
          <w:szCs w:val="24"/>
        </w:rPr>
      </w:pPr>
    </w:p>
    <w:p w14:paraId="6508FA74" w14:textId="7A1165FF" w:rsidR="00941D48" w:rsidRPr="00095A20" w:rsidRDefault="00095A20" w:rsidP="00095A20">
      <w:pPr>
        <w:rPr>
          <w:rFonts w:ascii="Garamond" w:hAnsi="Garamond" w:cs="Times New Roman"/>
          <w:bCs/>
          <w:sz w:val="24"/>
          <w:szCs w:val="24"/>
        </w:rPr>
      </w:pPr>
      <w:r w:rsidRPr="00095A20">
        <w:rPr>
          <w:rFonts w:ascii="Garamond" w:hAnsi="Garamond" w:cs="Times New Roman"/>
          <w:bCs/>
          <w:sz w:val="24"/>
          <w:szCs w:val="24"/>
        </w:rPr>
        <w:t xml:space="preserve">Henry Brady, “Do Two Research Cultures Imply Two Scientific Paradigms?,” </w:t>
      </w:r>
      <w:r w:rsidRPr="00095A20">
        <w:rPr>
          <w:rFonts w:ascii="Garamond" w:hAnsi="Garamond" w:cs="Times New Roman"/>
          <w:bCs/>
          <w:i/>
          <w:iCs/>
          <w:sz w:val="24"/>
          <w:szCs w:val="24"/>
        </w:rPr>
        <w:t>Comparative Political Studies</w:t>
      </w:r>
      <w:r w:rsidRPr="00095A20">
        <w:rPr>
          <w:rFonts w:ascii="Garamond" w:hAnsi="Garamond" w:cs="Times New Roman"/>
          <w:bCs/>
          <w:sz w:val="24"/>
          <w:szCs w:val="24"/>
        </w:rPr>
        <w:t xml:space="preserve"> 46, no. 2 (February 2013): 252–65.</w:t>
      </w:r>
    </w:p>
    <w:p w14:paraId="6E0C76A7" w14:textId="4CF4079E" w:rsidR="00941D48" w:rsidRDefault="00941D48" w:rsidP="001F71B5">
      <w:pPr>
        <w:spacing w:line="240" w:lineRule="auto"/>
        <w:contextualSpacing/>
        <w:rPr>
          <w:rFonts w:ascii="Garamond" w:hAnsi="Garamond" w:cs="Times New Roman"/>
          <w:bCs/>
          <w:iCs/>
          <w:sz w:val="24"/>
          <w:szCs w:val="24"/>
        </w:rPr>
      </w:pPr>
      <w:r w:rsidRPr="00941D48">
        <w:rPr>
          <w:rFonts w:ascii="Garamond" w:hAnsi="Garamond" w:cs="Times New Roman"/>
          <w:bCs/>
          <w:iCs/>
          <w:sz w:val="24"/>
          <w:szCs w:val="24"/>
        </w:rPr>
        <w:fldChar w:fldCharType="begin"/>
      </w:r>
      <w:r w:rsidR="00A96125">
        <w:rPr>
          <w:rFonts w:ascii="Garamond" w:hAnsi="Garamond" w:cs="Times New Roman"/>
          <w:bCs/>
          <w:iCs/>
          <w:sz w:val="24"/>
          <w:szCs w:val="24"/>
        </w:rPr>
        <w:instrText xml:space="preserve"> ADDIN ZOTERO_ITEM CSL_CITATION {"citationID":"VQlxH283","properties":{"formattedCitation":"Gary King, Robert O. (Robert Owen) Keohane, and Sidney Verba, {\\i{}Designing Social Inquiry: Scientific Inference in Qualitative Research} (Princeton, N.J.: Princeton University Press, 1994).","plainCitation":"Gary King, Robert O. (Robert Owen) Keohane, and Sidney Verba, Designing Social Inquiry: Scientific Inference in Qualitative Research (Princeton, N.J.: Princeton University Press, 1994).","noteIndex":0},"citationItems":[{"id":1375,"uris":["http://zotero.org/users/4231237/items/G2JEAVM9"],"itemData":{"id":1375,"type":"book","call-number":"Law School Harvard Depository H61 .K5437 1994","event-place":"Princeton, N.J.","publisher":"Princeton University Press","publisher-place":"Princeton, N.J.","source":"Library Catalog (Aquabrowser)","title":"Designing Social Inquiry: Scientific Inference in Qualitative Research","title-short":"Designing Social Inquiry","author":[{"family":"King","given":"Gary"},{"family":"Keohane","given":"Robert O. (Robert Owen)"},{"family":"Verba","given":"Sidney"}],"issued":{"date-parts":[["1994"]]}}}],"schema":"https://github.com/citation-style-language/schema/raw/master/csl-citation.json"} </w:instrText>
      </w:r>
      <w:r w:rsidRPr="00941D48">
        <w:rPr>
          <w:rFonts w:ascii="Garamond" w:hAnsi="Garamond" w:cs="Times New Roman"/>
          <w:bCs/>
          <w:iCs/>
          <w:sz w:val="24"/>
          <w:szCs w:val="24"/>
        </w:rPr>
        <w:fldChar w:fldCharType="separate"/>
      </w:r>
      <w:r w:rsidRPr="00941D48">
        <w:rPr>
          <w:rFonts w:ascii="Garamond" w:hAnsi="Garamond" w:cs="Times New Roman"/>
          <w:bCs/>
          <w:iCs/>
          <w:sz w:val="24"/>
          <w:szCs w:val="24"/>
        </w:rPr>
        <w:t xml:space="preserve">Gary King, Robert O. Keohane, and Sidney Verba, </w:t>
      </w:r>
      <w:r w:rsidRPr="00941D48">
        <w:rPr>
          <w:rFonts w:ascii="Garamond" w:hAnsi="Garamond" w:cs="Times New Roman"/>
          <w:bCs/>
          <w:i/>
          <w:iCs/>
          <w:sz w:val="24"/>
          <w:szCs w:val="24"/>
        </w:rPr>
        <w:t>Designing Social Inquiry: Scientific Inference in Qualitative Research</w:t>
      </w:r>
      <w:r w:rsidRPr="00941D48">
        <w:rPr>
          <w:rFonts w:ascii="Garamond" w:hAnsi="Garamond" w:cs="Times New Roman"/>
          <w:bCs/>
          <w:iCs/>
          <w:sz w:val="24"/>
          <w:szCs w:val="24"/>
        </w:rPr>
        <w:t xml:space="preserve"> (Princeton, NJ: Princeton University Press, 1994).</w:t>
      </w:r>
      <w:r w:rsidRPr="00941D48">
        <w:rPr>
          <w:rFonts w:ascii="Garamond" w:hAnsi="Garamond" w:cs="Times New Roman"/>
          <w:bCs/>
          <w:iCs/>
          <w:sz w:val="24"/>
          <w:szCs w:val="24"/>
        </w:rPr>
        <w:fldChar w:fldCharType="end"/>
      </w:r>
    </w:p>
    <w:p w14:paraId="309EF3E4" w14:textId="5CFF308B" w:rsidR="00941D48" w:rsidRDefault="00941D48" w:rsidP="001F71B5">
      <w:pPr>
        <w:spacing w:line="240" w:lineRule="auto"/>
        <w:contextualSpacing/>
        <w:rPr>
          <w:rFonts w:ascii="Garamond" w:hAnsi="Garamond" w:cs="Times New Roman"/>
          <w:bCs/>
          <w:iCs/>
          <w:sz w:val="24"/>
          <w:szCs w:val="24"/>
        </w:rPr>
      </w:pPr>
    </w:p>
    <w:p w14:paraId="37A256BA" w14:textId="77777777" w:rsidR="00941D48" w:rsidRPr="00941D48" w:rsidRDefault="00941D48" w:rsidP="00941D48">
      <w:pPr>
        <w:spacing w:line="240" w:lineRule="auto"/>
        <w:contextualSpacing/>
        <w:rPr>
          <w:rFonts w:ascii="Garamond" w:hAnsi="Garamond" w:cs="Times New Roman"/>
          <w:bCs/>
          <w:iCs/>
          <w:sz w:val="24"/>
          <w:szCs w:val="24"/>
        </w:rPr>
      </w:pPr>
      <w:r w:rsidRPr="00941D48">
        <w:rPr>
          <w:rFonts w:ascii="Garamond" w:hAnsi="Garamond" w:cs="Times New Roman"/>
          <w:bCs/>
          <w:iCs/>
          <w:sz w:val="24"/>
          <w:szCs w:val="24"/>
        </w:rPr>
        <w:t xml:space="preserve">David Dessler, “Beyond Correlations: Toward a Causal Theory of War,” </w:t>
      </w:r>
      <w:r w:rsidRPr="00941D48">
        <w:rPr>
          <w:rFonts w:ascii="Garamond" w:hAnsi="Garamond" w:cs="Times New Roman"/>
          <w:bCs/>
          <w:i/>
          <w:iCs/>
          <w:sz w:val="24"/>
          <w:szCs w:val="24"/>
        </w:rPr>
        <w:t>International Studies Quarterly</w:t>
      </w:r>
      <w:r w:rsidRPr="00941D48">
        <w:rPr>
          <w:rFonts w:ascii="Garamond" w:hAnsi="Garamond" w:cs="Times New Roman"/>
          <w:bCs/>
          <w:iCs/>
          <w:sz w:val="24"/>
          <w:szCs w:val="24"/>
        </w:rPr>
        <w:t xml:space="preserve"> 35, no. 3 (September 1991): 337–55.</w:t>
      </w:r>
    </w:p>
    <w:p w14:paraId="44F61F9C" w14:textId="77777777" w:rsidR="00941D48" w:rsidRPr="00941D48" w:rsidRDefault="00941D48" w:rsidP="001F71B5">
      <w:pPr>
        <w:spacing w:line="240" w:lineRule="auto"/>
        <w:contextualSpacing/>
        <w:rPr>
          <w:rFonts w:ascii="Garamond" w:hAnsi="Garamond" w:cs="Times New Roman"/>
          <w:bCs/>
          <w:iCs/>
          <w:sz w:val="24"/>
          <w:szCs w:val="24"/>
        </w:rPr>
      </w:pPr>
    </w:p>
    <w:p w14:paraId="464DEB44" w14:textId="77777777" w:rsidR="008A30FD" w:rsidRPr="008A30FD" w:rsidRDefault="008A30FD" w:rsidP="008A30FD">
      <w:pPr>
        <w:spacing w:line="240" w:lineRule="auto"/>
        <w:contextualSpacing/>
        <w:rPr>
          <w:rFonts w:ascii="Garamond" w:hAnsi="Garamond" w:cs="Times New Roman"/>
          <w:bCs/>
          <w:iCs/>
          <w:sz w:val="24"/>
          <w:szCs w:val="24"/>
        </w:rPr>
      </w:pPr>
      <w:r w:rsidRPr="008A30FD">
        <w:rPr>
          <w:rFonts w:ascii="Garamond" w:hAnsi="Garamond" w:cs="Times New Roman"/>
          <w:bCs/>
          <w:iCs/>
          <w:sz w:val="24"/>
          <w:szCs w:val="24"/>
        </w:rPr>
        <w:t xml:space="preserve">John P. A. Ioannidis, “Why Most Published Research Findings Are False,” </w:t>
      </w:r>
      <w:r w:rsidRPr="008A30FD">
        <w:rPr>
          <w:rFonts w:ascii="Garamond" w:hAnsi="Garamond" w:cs="Times New Roman"/>
          <w:bCs/>
          <w:i/>
          <w:iCs/>
          <w:sz w:val="24"/>
          <w:szCs w:val="24"/>
        </w:rPr>
        <w:t>PLoS Med</w:t>
      </w:r>
      <w:r w:rsidRPr="008A30FD">
        <w:rPr>
          <w:rFonts w:ascii="Garamond" w:hAnsi="Garamond" w:cs="Times New Roman"/>
          <w:bCs/>
          <w:iCs/>
          <w:sz w:val="24"/>
          <w:szCs w:val="24"/>
        </w:rPr>
        <w:t xml:space="preserve"> 2, no. 8 (August 2005): 696–701.</w:t>
      </w:r>
    </w:p>
    <w:p w14:paraId="4E32309E" w14:textId="3982CDBC" w:rsidR="008B46D1" w:rsidRDefault="008B46D1" w:rsidP="001F71B5">
      <w:pPr>
        <w:spacing w:line="240" w:lineRule="auto"/>
        <w:contextualSpacing/>
        <w:rPr>
          <w:rFonts w:ascii="Garamond" w:hAnsi="Garamond" w:cs="Times New Roman"/>
          <w:b/>
          <w:iCs/>
          <w:sz w:val="24"/>
          <w:szCs w:val="24"/>
        </w:rPr>
      </w:pPr>
    </w:p>
    <w:p w14:paraId="396DEFF8" w14:textId="4E27E22F" w:rsidR="008A30FD" w:rsidRDefault="008A30FD" w:rsidP="008A30FD">
      <w:pPr>
        <w:spacing w:line="240" w:lineRule="auto"/>
        <w:contextualSpacing/>
        <w:rPr>
          <w:rFonts w:ascii="Garamond" w:hAnsi="Garamond" w:cs="Times New Roman"/>
          <w:bCs/>
          <w:iCs/>
          <w:sz w:val="24"/>
          <w:szCs w:val="24"/>
        </w:rPr>
      </w:pPr>
      <w:r w:rsidRPr="008A30FD">
        <w:rPr>
          <w:rFonts w:ascii="Garamond" w:hAnsi="Garamond" w:cs="Times New Roman"/>
          <w:bCs/>
          <w:iCs/>
          <w:sz w:val="24"/>
          <w:szCs w:val="24"/>
        </w:rPr>
        <w:t xml:space="preserve">Rocío Titiunik, “Can Big Data Solve the Fundamental Problem of Causal Inference?,” </w:t>
      </w:r>
      <w:r w:rsidRPr="008A30FD">
        <w:rPr>
          <w:rFonts w:ascii="Garamond" w:hAnsi="Garamond" w:cs="Times New Roman"/>
          <w:bCs/>
          <w:i/>
          <w:iCs/>
          <w:sz w:val="24"/>
          <w:szCs w:val="24"/>
        </w:rPr>
        <w:t>PS: Political Science &amp; Politics</w:t>
      </w:r>
      <w:r w:rsidRPr="008A30FD">
        <w:rPr>
          <w:rFonts w:ascii="Garamond" w:hAnsi="Garamond" w:cs="Times New Roman"/>
          <w:bCs/>
          <w:iCs/>
          <w:sz w:val="24"/>
          <w:szCs w:val="24"/>
        </w:rPr>
        <w:t xml:space="preserve"> 48, no. 1 (January 2015): 75–79.</w:t>
      </w:r>
    </w:p>
    <w:p w14:paraId="216C1168" w14:textId="77777777" w:rsidR="00AE68E5" w:rsidRPr="00AE68E5" w:rsidRDefault="00AE68E5" w:rsidP="008A30FD">
      <w:pPr>
        <w:spacing w:line="240" w:lineRule="auto"/>
        <w:contextualSpacing/>
        <w:rPr>
          <w:rFonts w:ascii="Garamond" w:hAnsi="Garamond" w:cs="Times New Roman"/>
          <w:bCs/>
          <w:iCs/>
          <w:sz w:val="24"/>
          <w:szCs w:val="24"/>
        </w:rPr>
      </w:pPr>
    </w:p>
    <w:p w14:paraId="3A00EAAB" w14:textId="77777777" w:rsidR="00846B65" w:rsidRPr="00581C95" w:rsidRDefault="00846B65" w:rsidP="00846B65">
      <w:pPr>
        <w:spacing w:line="240" w:lineRule="auto"/>
        <w:contextualSpacing/>
        <w:rPr>
          <w:rFonts w:ascii="Garamond" w:hAnsi="Garamond" w:cs="Times New Roman"/>
          <w:b/>
          <w:i/>
          <w:sz w:val="24"/>
          <w:szCs w:val="24"/>
        </w:rPr>
      </w:pPr>
      <w:r w:rsidRPr="00581C95">
        <w:rPr>
          <w:rFonts w:ascii="Garamond" w:hAnsi="Garamond" w:cs="Times New Roman"/>
          <w:b/>
          <w:i/>
          <w:sz w:val="24"/>
          <w:szCs w:val="24"/>
        </w:rPr>
        <w:t>How do I use public information (like newspapers and FBIS) to do research on very current events?</w:t>
      </w:r>
    </w:p>
    <w:p w14:paraId="50377777" w14:textId="77777777" w:rsidR="00846B65" w:rsidRPr="00581C95" w:rsidRDefault="00846B65" w:rsidP="00846B65">
      <w:pPr>
        <w:spacing w:line="240" w:lineRule="auto"/>
        <w:contextualSpacing/>
        <w:rPr>
          <w:rFonts w:ascii="Garamond" w:hAnsi="Garamond" w:cs="Times New Roman"/>
          <w:b/>
          <w:i/>
          <w:sz w:val="24"/>
          <w:szCs w:val="24"/>
        </w:rPr>
      </w:pPr>
    </w:p>
    <w:p w14:paraId="486D4374" w14:textId="08CA0FDC" w:rsidR="008C74BE" w:rsidRDefault="00846B65" w:rsidP="008A30FD">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Allen Whiting, </w:t>
      </w:r>
      <w:r w:rsidRPr="00581C95">
        <w:rPr>
          <w:rFonts w:ascii="Garamond" w:hAnsi="Garamond" w:cs="Times New Roman"/>
          <w:b/>
          <w:i/>
          <w:iCs/>
          <w:sz w:val="24"/>
          <w:szCs w:val="24"/>
        </w:rPr>
        <w:t>China Crosses the Yalu: The Decision to Enter the Korean War</w:t>
      </w:r>
      <w:r w:rsidRPr="00581C95">
        <w:rPr>
          <w:rFonts w:ascii="Garamond" w:hAnsi="Garamond" w:cs="Times New Roman"/>
          <w:b/>
          <w:iCs/>
          <w:sz w:val="24"/>
          <w:szCs w:val="24"/>
        </w:rPr>
        <w:t xml:space="preserve"> (New York: Macmillan Company, 1960)</w:t>
      </w:r>
      <w:r w:rsidR="00E236CF">
        <w:rPr>
          <w:rFonts w:ascii="Garamond" w:hAnsi="Garamond" w:cs="Times New Roman"/>
          <w:b/>
          <w:iCs/>
          <w:sz w:val="24"/>
          <w:szCs w:val="24"/>
        </w:rPr>
        <w:t>.</w:t>
      </w:r>
      <w:r w:rsidRPr="00581C95">
        <w:rPr>
          <w:rFonts w:ascii="Garamond" w:hAnsi="Garamond" w:cs="Times New Roman"/>
          <w:b/>
          <w:iCs/>
          <w:sz w:val="24"/>
          <w:szCs w:val="24"/>
        </w:rPr>
        <w:t xml:space="preserve"> Chapters 3 and 4.</w:t>
      </w:r>
    </w:p>
    <w:p w14:paraId="2544E332" w14:textId="77777777" w:rsidR="005A1DE0" w:rsidRPr="00581C95" w:rsidRDefault="005A1DE0" w:rsidP="008A30FD">
      <w:pPr>
        <w:spacing w:line="240" w:lineRule="auto"/>
        <w:contextualSpacing/>
        <w:rPr>
          <w:rFonts w:ascii="Garamond" w:hAnsi="Garamond" w:cs="Times New Roman"/>
          <w:b/>
          <w:iCs/>
          <w:sz w:val="24"/>
          <w:szCs w:val="24"/>
        </w:rPr>
      </w:pPr>
    </w:p>
    <w:p w14:paraId="0E4EF372" w14:textId="77777777" w:rsidR="001F71B5" w:rsidRPr="00870100" w:rsidRDefault="001F71B5" w:rsidP="001F71B5">
      <w:pPr>
        <w:spacing w:line="240" w:lineRule="auto"/>
        <w:contextualSpacing/>
        <w:rPr>
          <w:rFonts w:ascii="Garamond" w:hAnsi="Garamond" w:cs="Times New Roman"/>
          <w:b/>
          <w:i/>
          <w:sz w:val="24"/>
          <w:szCs w:val="24"/>
        </w:rPr>
      </w:pPr>
    </w:p>
    <w:p w14:paraId="29030CB5" w14:textId="77777777" w:rsidR="00016483" w:rsidRDefault="00016483" w:rsidP="00016483">
      <w:pPr>
        <w:spacing w:line="240" w:lineRule="auto"/>
        <w:contextualSpacing/>
        <w:rPr>
          <w:rFonts w:ascii="Garamond" w:hAnsi="Garamond" w:cs="Times New Roman"/>
          <w:sz w:val="24"/>
          <w:szCs w:val="24"/>
        </w:rPr>
      </w:pPr>
      <w:r>
        <w:rPr>
          <w:rFonts w:ascii="Garamond" w:hAnsi="Garamond" w:cs="Times New Roman"/>
          <w:b/>
          <w:i/>
          <w:sz w:val="24"/>
          <w:szCs w:val="24"/>
        </w:rPr>
        <w:t xml:space="preserve">February 20: </w:t>
      </w:r>
    </w:p>
    <w:p w14:paraId="3EFC0862" w14:textId="5CB812F5" w:rsidR="001F71B5" w:rsidRPr="00870100" w:rsidRDefault="001F71B5" w:rsidP="001F71B5">
      <w:pPr>
        <w:spacing w:line="240" w:lineRule="auto"/>
        <w:contextualSpacing/>
        <w:rPr>
          <w:rFonts w:ascii="Garamond" w:hAnsi="Garamond" w:cs="Times New Roman"/>
          <w:b/>
          <w:i/>
          <w:sz w:val="24"/>
          <w:szCs w:val="24"/>
        </w:rPr>
      </w:pPr>
    </w:p>
    <w:p w14:paraId="1CBC22A3" w14:textId="7B557BD4" w:rsidR="008B46D1" w:rsidRDefault="000C3865" w:rsidP="001F71B5">
      <w:pPr>
        <w:spacing w:line="240" w:lineRule="auto"/>
        <w:contextualSpacing/>
        <w:rPr>
          <w:rFonts w:ascii="Garamond" w:hAnsi="Garamond" w:cs="Times New Roman"/>
          <w:b/>
          <w:i/>
          <w:sz w:val="24"/>
          <w:szCs w:val="24"/>
        </w:rPr>
      </w:pPr>
      <w:r>
        <w:rPr>
          <w:rFonts w:ascii="Garamond" w:hAnsi="Garamond" w:cs="Times New Roman"/>
          <w:b/>
          <w:i/>
          <w:sz w:val="24"/>
          <w:szCs w:val="24"/>
        </w:rPr>
        <w:t>“</w:t>
      </w:r>
      <w:r w:rsidR="008B46D1" w:rsidRPr="00581C95">
        <w:rPr>
          <w:rFonts w:ascii="Garamond" w:hAnsi="Garamond" w:cs="Times New Roman"/>
          <w:b/>
          <w:i/>
          <w:sz w:val="24"/>
          <w:szCs w:val="24"/>
        </w:rPr>
        <w:t>Multi-method</w:t>
      </w:r>
      <w:r>
        <w:rPr>
          <w:rFonts w:ascii="Garamond" w:hAnsi="Garamond" w:cs="Times New Roman"/>
          <w:b/>
          <w:i/>
          <w:sz w:val="24"/>
          <w:szCs w:val="24"/>
        </w:rPr>
        <w:t>”</w:t>
      </w:r>
      <w:r w:rsidR="008B46D1" w:rsidRPr="00581C95">
        <w:rPr>
          <w:rFonts w:ascii="Garamond" w:hAnsi="Garamond" w:cs="Times New Roman"/>
          <w:b/>
          <w:i/>
          <w:sz w:val="24"/>
          <w:szCs w:val="24"/>
        </w:rPr>
        <w:t xml:space="preserve"> research</w:t>
      </w:r>
    </w:p>
    <w:p w14:paraId="146D0514" w14:textId="1945BEB0" w:rsidR="008B46D1" w:rsidRPr="00581C95" w:rsidRDefault="008B46D1" w:rsidP="001F71B5">
      <w:pPr>
        <w:spacing w:line="240" w:lineRule="auto"/>
        <w:contextualSpacing/>
        <w:rPr>
          <w:rFonts w:ascii="Garamond" w:hAnsi="Garamond" w:cs="Times New Roman"/>
          <w:b/>
          <w:i/>
          <w:sz w:val="24"/>
          <w:szCs w:val="24"/>
        </w:rPr>
      </w:pPr>
    </w:p>
    <w:p w14:paraId="5BE49A6D" w14:textId="77777777" w:rsidR="003B3777" w:rsidRPr="00581C95" w:rsidRDefault="003B3777" w:rsidP="003B3777">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Evan Lieberman, “Nested Analysis as a Mixed-Method Strategy for Comparative Research,” </w:t>
      </w:r>
      <w:r w:rsidRPr="00581C95">
        <w:rPr>
          <w:rFonts w:ascii="Garamond" w:hAnsi="Garamond" w:cs="Times New Roman"/>
          <w:b/>
          <w:i/>
          <w:iCs/>
          <w:sz w:val="24"/>
          <w:szCs w:val="24"/>
        </w:rPr>
        <w:t>American Political Science Review</w:t>
      </w:r>
      <w:r w:rsidRPr="00581C95">
        <w:rPr>
          <w:rFonts w:ascii="Garamond" w:hAnsi="Garamond" w:cs="Times New Roman"/>
          <w:b/>
          <w:iCs/>
          <w:sz w:val="24"/>
          <w:szCs w:val="24"/>
        </w:rPr>
        <w:t xml:space="preserve"> 99, no. 3 (August 2005): 435–52.</w:t>
      </w:r>
    </w:p>
    <w:p w14:paraId="36D6721D" w14:textId="77777777" w:rsidR="003B3777" w:rsidRPr="00581C95" w:rsidRDefault="003B3777" w:rsidP="00422D34">
      <w:pPr>
        <w:spacing w:line="240" w:lineRule="auto"/>
        <w:contextualSpacing/>
        <w:rPr>
          <w:rFonts w:ascii="Garamond" w:hAnsi="Garamond" w:cs="Times New Roman"/>
          <w:b/>
          <w:iCs/>
          <w:sz w:val="24"/>
          <w:szCs w:val="24"/>
        </w:rPr>
      </w:pPr>
    </w:p>
    <w:p w14:paraId="4082A456" w14:textId="0E82467A" w:rsidR="00422D34" w:rsidRPr="00581C95" w:rsidRDefault="00422D34" w:rsidP="00422D34">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Amel Ahmed and Rudra Sil, “When Multi-Method Research Subverts Methodological Pluralism—or, Why We Still Need Single-Method Research,” </w:t>
      </w:r>
      <w:r w:rsidRPr="00581C95">
        <w:rPr>
          <w:rFonts w:ascii="Garamond" w:hAnsi="Garamond" w:cs="Times New Roman"/>
          <w:b/>
          <w:i/>
          <w:iCs/>
          <w:sz w:val="24"/>
          <w:szCs w:val="24"/>
        </w:rPr>
        <w:t>Perspectives on Politics</w:t>
      </w:r>
      <w:r w:rsidRPr="00581C95">
        <w:rPr>
          <w:rFonts w:ascii="Garamond" w:hAnsi="Garamond" w:cs="Times New Roman"/>
          <w:b/>
          <w:iCs/>
          <w:sz w:val="24"/>
          <w:szCs w:val="24"/>
        </w:rPr>
        <w:t xml:space="preserve"> 10, no. 4 (December 2012): 935–53.</w:t>
      </w:r>
    </w:p>
    <w:p w14:paraId="17FFA931" w14:textId="460A857B" w:rsidR="003B3777" w:rsidRPr="00581C95" w:rsidRDefault="003B3777" w:rsidP="003B3777">
      <w:pPr>
        <w:spacing w:line="240" w:lineRule="auto"/>
        <w:contextualSpacing/>
        <w:rPr>
          <w:rFonts w:ascii="Garamond" w:hAnsi="Garamond" w:cs="Times New Roman"/>
          <w:b/>
          <w:iCs/>
          <w:sz w:val="24"/>
          <w:szCs w:val="24"/>
        </w:rPr>
      </w:pPr>
    </w:p>
    <w:p w14:paraId="66638DC3" w14:textId="31DF49F6" w:rsidR="003B3777" w:rsidRPr="00581C95" w:rsidRDefault="003B3777" w:rsidP="003B3777">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Gary Goertz, “Multimethod Research,” </w:t>
      </w:r>
      <w:r w:rsidRPr="00581C95">
        <w:rPr>
          <w:rFonts w:ascii="Garamond" w:hAnsi="Garamond" w:cs="Times New Roman"/>
          <w:b/>
          <w:i/>
          <w:iCs/>
          <w:sz w:val="24"/>
          <w:szCs w:val="24"/>
        </w:rPr>
        <w:t>Security Studies</w:t>
      </w:r>
      <w:r w:rsidRPr="00581C95">
        <w:rPr>
          <w:rFonts w:ascii="Garamond" w:hAnsi="Garamond" w:cs="Times New Roman"/>
          <w:b/>
          <w:iCs/>
          <w:sz w:val="24"/>
          <w:szCs w:val="24"/>
        </w:rPr>
        <w:t xml:space="preserve"> 25, no. 1 (February 25, 2016): 3–24. </w:t>
      </w:r>
    </w:p>
    <w:p w14:paraId="7893D459" w14:textId="5A465656" w:rsidR="00D7347E" w:rsidRPr="00581C95" w:rsidRDefault="00D7347E" w:rsidP="001F71B5">
      <w:pPr>
        <w:spacing w:line="240" w:lineRule="auto"/>
        <w:contextualSpacing/>
        <w:rPr>
          <w:rFonts w:ascii="Garamond" w:hAnsi="Garamond" w:cs="Times New Roman"/>
          <w:b/>
          <w:iCs/>
          <w:sz w:val="24"/>
          <w:szCs w:val="24"/>
        </w:rPr>
      </w:pPr>
    </w:p>
    <w:p w14:paraId="576B12C2" w14:textId="713B8A5E" w:rsidR="00D7347E" w:rsidRPr="00581C95" w:rsidRDefault="00D7347E" w:rsidP="001F71B5">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Jason Seawright, </w:t>
      </w:r>
      <w:r w:rsidRPr="00581C95">
        <w:rPr>
          <w:rFonts w:ascii="Garamond" w:hAnsi="Garamond" w:cs="Times New Roman"/>
          <w:b/>
          <w:i/>
          <w:iCs/>
          <w:sz w:val="24"/>
          <w:szCs w:val="24"/>
        </w:rPr>
        <w:t>Multi-Method Social Science: Combining Qualitative and Quantitative Tools</w:t>
      </w:r>
      <w:r w:rsidRPr="00581C95">
        <w:rPr>
          <w:rFonts w:ascii="Garamond" w:hAnsi="Garamond" w:cs="Times New Roman"/>
          <w:b/>
          <w:iCs/>
          <w:sz w:val="24"/>
          <w:szCs w:val="24"/>
        </w:rPr>
        <w:t xml:space="preserve"> (Cambridge: Cambridge University Press, 2016), </w:t>
      </w:r>
      <w:r w:rsidR="00454B37" w:rsidRPr="00581C95">
        <w:rPr>
          <w:rFonts w:ascii="Garamond" w:hAnsi="Garamond" w:cs="Times New Roman"/>
          <w:b/>
          <w:iCs/>
          <w:sz w:val="24"/>
          <w:szCs w:val="24"/>
        </w:rPr>
        <w:t>1</w:t>
      </w:r>
      <w:r w:rsidR="00E236CF">
        <w:rPr>
          <w:rFonts w:ascii="Garamond" w:hAnsi="Garamond" w:cs="Times New Roman"/>
          <w:b/>
          <w:iCs/>
          <w:sz w:val="24"/>
          <w:szCs w:val="24"/>
        </w:rPr>
        <w:t>–</w:t>
      </w:r>
      <w:r w:rsidR="00454B37" w:rsidRPr="00581C95">
        <w:rPr>
          <w:rFonts w:ascii="Garamond" w:hAnsi="Garamond" w:cs="Times New Roman"/>
          <w:b/>
          <w:iCs/>
          <w:sz w:val="24"/>
          <w:szCs w:val="24"/>
        </w:rPr>
        <w:t>18</w:t>
      </w:r>
      <w:r w:rsidR="007873A7" w:rsidRPr="00581C95">
        <w:rPr>
          <w:rFonts w:ascii="Garamond" w:hAnsi="Garamond" w:cs="Times New Roman"/>
          <w:b/>
          <w:iCs/>
          <w:sz w:val="24"/>
          <w:szCs w:val="24"/>
        </w:rPr>
        <w:t>,</w:t>
      </w:r>
      <w:r w:rsidR="00454B37" w:rsidRPr="00581C95">
        <w:rPr>
          <w:rFonts w:ascii="Garamond" w:hAnsi="Garamond" w:cs="Times New Roman"/>
          <w:b/>
          <w:iCs/>
          <w:sz w:val="24"/>
          <w:szCs w:val="24"/>
        </w:rPr>
        <w:t xml:space="preserve"> </w:t>
      </w:r>
      <w:r w:rsidRPr="00581C95">
        <w:rPr>
          <w:rFonts w:ascii="Garamond" w:hAnsi="Garamond" w:cs="Times New Roman"/>
          <w:b/>
          <w:iCs/>
          <w:sz w:val="24"/>
          <w:szCs w:val="24"/>
        </w:rPr>
        <w:t>45</w:t>
      </w:r>
      <w:r w:rsidR="00E236CF">
        <w:rPr>
          <w:rFonts w:ascii="Garamond" w:hAnsi="Garamond" w:cs="Times New Roman"/>
          <w:b/>
          <w:iCs/>
          <w:sz w:val="24"/>
          <w:szCs w:val="24"/>
        </w:rPr>
        <w:t>–</w:t>
      </w:r>
      <w:r w:rsidRPr="00581C95">
        <w:rPr>
          <w:rFonts w:ascii="Garamond" w:hAnsi="Garamond" w:cs="Times New Roman"/>
          <w:b/>
          <w:iCs/>
          <w:sz w:val="24"/>
          <w:szCs w:val="24"/>
        </w:rPr>
        <w:t>104, 171</w:t>
      </w:r>
      <w:r w:rsidR="00E236CF">
        <w:rPr>
          <w:rFonts w:ascii="Garamond" w:hAnsi="Garamond" w:cs="Times New Roman"/>
          <w:b/>
          <w:iCs/>
          <w:sz w:val="24"/>
          <w:szCs w:val="24"/>
        </w:rPr>
        <w:t>–</w:t>
      </w:r>
      <w:r w:rsidRPr="00581C95">
        <w:rPr>
          <w:rFonts w:ascii="Garamond" w:hAnsi="Garamond" w:cs="Times New Roman"/>
          <w:b/>
          <w:iCs/>
          <w:sz w:val="24"/>
          <w:szCs w:val="24"/>
        </w:rPr>
        <w:t>91</w:t>
      </w:r>
      <w:r w:rsidR="00E236CF">
        <w:rPr>
          <w:rFonts w:ascii="Garamond" w:hAnsi="Garamond" w:cs="Times New Roman"/>
          <w:b/>
          <w:iCs/>
          <w:sz w:val="24"/>
          <w:szCs w:val="24"/>
        </w:rPr>
        <w:t>.</w:t>
      </w:r>
    </w:p>
    <w:p w14:paraId="34E278B5" w14:textId="77777777" w:rsidR="000565BA" w:rsidRDefault="000565BA" w:rsidP="000565BA">
      <w:pPr>
        <w:spacing w:line="240" w:lineRule="auto"/>
        <w:contextualSpacing/>
        <w:rPr>
          <w:rFonts w:ascii="Garamond" w:hAnsi="Garamond" w:cs="Times New Roman"/>
          <w:b/>
          <w:iCs/>
          <w:sz w:val="24"/>
          <w:szCs w:val="24"/>
        </w:rPr>
      </w:pPr>
    </w:p>
    <w:p w14:paraId="15D5D5C6" w14:textId="2F3CCD99" w:rsidR="000565BA" w:rsidRPr="00581C95" w:rsidRDefault="00DF7011" w:rsidP="000565BA">
      <w:pPr>
        <w:spacing w:line="240" w:lineRule="auto"/>
        <w:contextualSpacing/>
        <w:rPr>
          <w:rFonts w:ascii="Garamond" w:hAnsi="Garamond" w:cs="Times New Roman"/>
          <w:b/>
          <w:i/>
          <w:sz w:val="24"/>
          <w:szCs w:val="24"/>
        </w:rPr>
      </w:pPr>
      <w:r w:rsidRPr="00400F4F">
        <w:rPr>
          <w:rFonts w:ascii="Garamond" w:hAnsi="Garamond" w:cs="Times New Roman"/>
          <w:b/>
          <w:iCs/>
          <w:sz w:val="24"/>
          <w:szCs w:val="24"/>
        </w:rPr>
        <w:t>A.</w:t>
      </w:r>
      <w:r>
        <w:rPr>
          <w:rFonts w:ascii="Garamond" w:hAnsi="Garamond" w:cs="Times New Roman"/>
          <w:b/>
          <w:iCs/>
          <w:sz w:val="24"/>
          <w:szCs w:val="24"/>
        </w:rPr>
        <w:t xml:space="preserve"> </w:t>
      </w:r>
      <w:r w:rsidR="000565BA" w:rsidRPr="00400F4F">
        <w:rPr>
          <w:rFonts w:ascii="Garamond" w:hAnsi="Garamond" w:cs="Times New Roman"/>
          <w:b/>
          <w:iCs/>
          <w:sz w:val="24"/>
          <w:szCs w:val="24"/>
        </w:rPr>
        <w:t xml:space="preserve">Thiem, </w:t>
      </w:r>
      <w:r w:rsidRPr="00400F4F">
        <w:rPr>
          <w:rFonts w:ascii="Garamond" w:hAnsi="Garamond" w:cs="Times New Roman"/>
          <w:b/>
          <w:iCs/>
          <w:sz w:val="24"/>
          <w:szCs w:val="24"/>
        </w:rPr>
        <w:t>M.</w:t>
      </w:r>
      <w:r>
        <w:rPr>
          <w:rFonts w:ascii="Garamond" w:hAnsi="Garamond" w:cs="Times New Roman"/>
          <w:b/>
          <w:iCs/>
          <w:sz w:val="24"/>
          <w:szCs w:val="24"/>
        </w:rPr>
        <w:t xml:space="preserve"> </w:t>
      </w:r>
      <w:r w:rsidR="000565BA" w:rsidRPr="00400F4F">
        <w:rPr>
          <w:rFonts w:ascii="Garamond" w:hAnsi="Garamond" w:cs="Times New Roman"/>
          <w:b/>
          <w:iCs/>
          <w:sz w:val="24"/>
          <w:szCs w:val="24"/>
        </w:rPr>
        <w:t xml:space="preserve">Baumgartner, </w:t>
      </w:r>
      <w:r>
        <w:rPr>
          <w:rFonts w:ascii="Garamond" w:hAnsi="Garamond" w:cs="Times New Roman"/>
          <w:b/>
          <w:iCs/>
          <w:sz w:val="24"/>
          <w:szCs w:val="24"/>
        </w:rPr>
        <w:t>and</w:t>
      </w:r>
      <w:r w:rsidR="000565BA" w:rsidRPr="00400F4F">
        <w:rPr>
          <w:rFonts w:ascii="Garamond" w:hAnsi="Garamond" w:cs="Times New Roman"/>
          <w:b/>
          <w:iCs/>
          <w:sz w:val="24"/>
          <w:szCs w:val="24"/>
        </w:rPr>
        <w:t xml:space="preserve"> </w:t>
      </w:r>
      <w:r w:rsidRPr="00400F4F">
        <w:rPr>
          <w:rFonts w:ascii="Garamond" w:hAnsi="Garamond" w:cs="Times New Roman"/>
          <w:b/>
          <w:iCs/>
          <w:sz w:val="24"/>
          <w:szCs w:val="24"/>
        </w:rPr>
        <w:t>D.</w:t>
      </w:r>
      <w:r>
        <w:rPr>
          <w:rFonts w:ascii="Garamond" w:hAnsi="Garamond" w:cs="Times New Roman"/>
          <w:b/>
          <w:iCs/>
          <w:sz w:val="24"/>
          <w:szCs w:val="24"/>
        </w:rPr>
        <w:t xml:space="preserve"> </w:t>
      </w:r>
      <w:r w:rsidR="000565BA" w:rsidRPr="00400F4F">
        <w:rPr>
          <w:rFonts w:ascii="Garamond" w:hAnsi="Garamond" w:cs="Times New Roman"/>
          <w:b/>
          <w:iCs/>
          <w:sz w:val="24"/>
          <w:szCs w:val="24"/>
        </w:rPr>
        <w:t>Bol</w:t>
      </w:r>
      <w:r>
        <w:rPr>
          <w:rFonts w:ascii="Garamond" w:hAnsi="Garamond" w:cs="Times New Roman"/>
          <w:b/>
          <w:iCs/>
          <w:sz w:val="24"/>
          <w:szCs w:val="24"/>
        </w:rPr>
        <w:t>,</w:t>
      </w:r>
      <w:r w:rsidR="000565BA" w:rsidRPr="00400F4F">
        <w:rPr>
          <w:rFonts w:ascii="Garamond" w:hAnsi="Garamond" w:cs="Times New Roman"/>
          <w:b/>
          <w:iCs/>
          <w:sz w:val="24"/>
          <w:szCs w:val="24"/>
        </w:rPr>
        <w:t xml:space="preserve"> </w:t>
      </w:r>
      <w:r w:rsidR="000565BA">
        <w:rPr>
          <w:rFonts w:ascii="Garamond" w:hAnsi="Garamond" w:cs="Times New Roman"/>
          <w:b/>
          <w:iCs/>
          <w:sz w:val="24"/>
          <w:szCs w:val="24"/>
        </w:rPr>
        <w:t>“</w:t>
      </w:r>
      <w:r w:rsidR="000565BA" w:rsidRPr="00400F4F">
        <w:rPr>
          <w:rFonts w:ascii="Garamond" w:hAnsi="Garamond" w:cs="Times New Roman"/>
          <w:b/>
          <w:iCs/>
          <w:sz w:val="24"/>
          <w:szCs w:val="24"/>
        </w:rPr>
        <w:t>Still Lost in Translation! A Correction of Three Misunderstandings Between Configurational Comparativists and Regressional Analysts</w:t>
      </w:r>
      <w:r w:rsidRPr="00DF7011">
        <w:rPr>
          <w:rFonts w:ascii="Garamond" w:hAnsi="Garamond" w:cs="Times New Roman"/>
          <w:b/>
          <w:iCs/>
          <w:sz w:val="24"/>
          <w:szCs w:val="24"/>
        </w:rPr>
        <w:t>,</w:t>
      </w:r>
      <w:r w:rsidR="000565BA" w:rsidRPr="00DF7011">
        <w:rPr>
          <w:rFonts w:ascii="Garamond" w:hAnsi="Garamond" w:cs="Times New Roman"/>
          <w:b/>
          <w:iCs/>
          <w:sz w:val="24"/>
          <w:szCs w:val="24"/>
        </w:rPr>
        <w:t>”</w:t>
      </w:r>
      <w:r w:rsidR="000565BA" w:rsidRPr="00400F4F">
        <w:rPr>
          <w:rFonts w:ascii="Garamond" w:hAnsi="Garamond" w:cs="Times New Roman"/>
          <w:b/>
          <w:i/>
          <w:sz w:val="24"/>
          <w:szCs w:val="24"/>
        </w:rPr>
        <w:t xml:space="preserve"> Comparative Political Studies</w:t>
      </w:r>
      <w:r>
        <w:rPr>
          <w:rFonts w:ascii="Garamond" w:hAnsi="Garamond" w:cs="Times New Roman"/>
          <w:b/>
          <w:i/>
          <w:sz w:val="24"/>
          <w:szCs w:val="24"/>
        </w:rPr>
        <w:t xml:space="preserve"> </w:t>
      </w:r>
      <w:r w:rsidR="000565BA" w:rsidRPr="00DF7011">
        <w:rPr>
          <w:rFonts w:ascii="Garamond" w:hAnsi="Garamond" w:cs="Times New Roman"/>
          <w:b/>
          <w:iCs/>
          <w:sz w:val="24"/>
          <w:szCs w:val="24"/>
        </w:rPr>
        <w:t>49</w:t>
      </w:r>
      <w:r>
        <w:rPr>
          <w:rFonts w:ascii="Garamond" w:hAnsi="Garamond" w:cs="Times New Roman"/>
          <w:b/>
          <w:iCs/>
          <w:sz w:val="24"/>
          <w:szCs w:val="24"/>
        </w:rPr>
        <w:t xml:space="preserve">, no. </w:t>
      </w:r>
      <w:r w:rsidR="000565BA" w:rsidRPr="00DF7011">
        <w:rPr>
          <w:rFonts w:ascii="Garamond" w:hAnsi="Garamond" w:cs="Times New Roman"/>
          <w:b/>
          <w:iCs/>
          <w:sz w:val="24"/>
          <w:szCs w:val="24"/>
        </w:rPr>
        <w:t>6</w:t>
      </w:r>
      <w:r>
        <w:rPr>
          <w:rFonts w:ascii="Garamond" w:hAnsi="Garamond" w:cs="Times New Roman"/>
          <w:b/>
          <w:iCs/>
          <w:sz w:val="24"/>
          <w:szCs w:val="24"/>
        </w:rPr>
        <w:t xml:space="preserve"> (2016)</w:t>
      </w:r>
      <w:r w:rsidR="000565BA" w:rsidRPr="00400F4F">
        <w:rPr>
          <w:rFonts w:ascii="Garamond" w:hAnsi="Garamond" w:cs="Times New Roman"/>
          <w:b/>
          <w:i/>
          <w:sz w:val="24"/>
          <w:szCs w:val="24"/>
        </w:rPr>
        <w:t xml:space="preserve">, </w:t>
      </w:r>
      <w:r w:rsidR="000565BA" w:rsidRPr="00DF7011">
        <w:rPr>
          <w:rFonts w:ascii="Garamond" w:hAnsi="Garamond" w:cs="Times New Roman"/>
          <w:b/>
          <w:iCs/>
          <w:sz w:val="24"/>
          <w:szCs w:val="24"/>
        </w:rPr>
        <w:t>742–74</w:t>
      </w:r>
      <w:r>
        <w:rPr>
          <w:rFonts w:ascii="Garamond" w:hAnsi="Garamond" w:cs="Times New Roman"/>
          <w:b/>
          <w:iCs/>
          <w:sz w:val="24"/>
          <w:szCs w:val="24"/>
        </w:rPr>
        <w:t xml:space="preserve">. </w:t>
      </w:r>
    </w:p>
    <w:p w14:paraId="0852D857" w14:textId="3C6FC16D" w:rsidR="008B46D1" w:rsidRPr="00870100" w:rsidRDefault="008B46D1" w:rsidP="001F71B5">
      <w:pPr>
        <w:spacing w:line="240" w:lineRule="auto"/>
        <w:contextualSpacing/>
        <w:rPr>
          <w:rFonts w:ascii="Garamond" w:hAnsi="Garamond" w:cs="Times New Roman"/>
          <w:b/>
          <w:iCs/>
          <w:sz w:val="24"/>
          <w:szCs w:val="24"/>
        </w:rPr>
      </w:pPr>
    </w:p>
    <w:p w14:paraId="265C5548" w14:textId="27977973" w:rsidR="003B3777" w:rsidRDefault="003B3777" w:rsidP="001F71B5">
      <w:pPr>
        <w:spacing w:line="240" w:lineRule="auto"/>
        <w:contextualSpacing/>
        <w:rPr>
          <w:rFonts w:ascii="Garamond" w:hAnsi="Garamond" w:cs="Times New Roman"/>
          <w:bCs/>
          <w:iCs/>
          <w:sz w:val="24"/>
          <w:szCs w:val="24"/>
        </w:rPr>
      </w:pPr>
      <w:r w:rsidRPr="00870100">
        <w:rPr>
          <w:rFonts w:ascii="Garamond" w:hAnsi="Garamond" w:cs="Times New Roman"/>
          <w:bCs/>
          <w:iCs/>
          <w:sz w:val="24"/>
          <w:szCs w:val="24"/>
        </w:rPr>
        <w:t>OPTIONAL:</w:t>
      </w:r>
    </w:p>
    <w:p w14:paraId="0251CBF8" w14:textId="77777777" w:rsidR="000565BA" w:rsidRDefault="000565BA" w:rsidP="001F71B5">
      <w:pPr>
        <w:spacing w:line="240" w:lineRule="auto"/>
        <w:contextualSpacing/>
        <w:rPr>
          <w:rFonts w:ascii="Garamond" w:hAnsi="Garamond" w:cs="Times New Roman"/>
          <w:bCs/>
          <w:iCs/>
          <w:sz w:val="24"/>
          <w:szCs w:val="24"/>
        </w:rPr>
      </w:pPr>
    </w:p>
    <w:p w14:paraId="0D9299CD" w14:textId="33E47F19" w:rsidR="000565BA" w:rsidRDefault="000565BA" w:rsidP="001F71B5">
      <w:pPr>
        <w:spacing w:line="240" w:lineRule="auto"/>
        <w:contextualSpacing/>
        <w:rPr>
          <w:rFonts w:ascii="Garamond" w:hAnsi="Garamond" w:cs="Times New Roman"/>
          <w:bCs/>
          <w:iCs/>
          <w:sz w:val="24"/>
          <w:szCs w:val="24"/>
        </w:rPr>
      </w:pPr>
      <w:r w:rsidRPr="000565BA">
        <w:rPr>
          <w:rFonts w:ascii="Garamond" w:hAnsi="Garamond" w:cs="Times New Roman"/>
          <w:bCs/>
          <w:iCs/>
          <w:sz w:val="24"/>
          <w:szCs w:val="24"/>
        </w:rPr>
        <w:lastRenderedPageBreak/>
        <w:t xml:space="preserve">Sidney Tarrow, “Bridging the Quantitative-Qualitative Divide” in </w:t>
      </w:r>
      <w:r w:rsidRPr="000565BA">
        <w:rPr>
          <w:rFonts w:ascii="Garamond" w:hAnsi="Garamond" w:cs="Times New Roman"/>
          <w:bCs/>
          <w:i/>
          <w:iCs/>
          <w:sz w:val="24"/>
          <w:szCs w:val="24"/>
        </w:rPr>
        <w:t>Rethinking Social Inquiry: Diverse Tools, Shared Standards</w:t>
      </w:r>
      <w:r w:rsidRPr="000565BA">
        <w:rPr>
          <w:rFonts w:ascii="Garamond" w:hAnsi="Garamond" w:cs="Times New Roman"/>
          <w:bCs/>
          <w:iCs/>
          <w:sz w:val="24"/>
          <w:szCs w:val="24"/>
        </w:rPr>
        <w:t>, ed. Henry E. Brady and David Collier, 2nd ed. (Lanham, MD: Rowman &amp; Littlefield, 2010)</w:t>
      </w:r>
      <w:r w:rsidR="00DF7011">
        <w:rPr>
          <w:rFonts w:ascii="Garamond" w:hAnsi="Garamond" w:cs="Times New Roman"/>
          <w:bCs/>
          <w:iCs/>
          <w:sz w:val="24"/>
          <w:szCs w:val="24"/>
        </w:rPr>
        <w:t xml:space="preserve">. </w:t>
      </w:r>
    </w:p>
    <w:p w14:paraId="59975955" w14:textId="77777777" w:rsidR="00E6545D" w:rsidRDefault="00E6545D" w:rsidP="001F71B5">
      <w:pPr>
        <w:spacing w:line="240" w:lineRule="auto"/>
        <w:contextualSpacing/>
        <w:rPr>
          <w:rFonts w:ascii="Garamond" w:hAnsi="Garamond" w:cs="Times New Roman"/>
          <w:bCs/>
          <w:iCs/>
          <w:sz w:val="24"/>
          <w:szCs w:val="24"/>
        </w:rPr>
      </w:pPr>
    </w:p>
    <w:p w14:paraId="3B3923E7" w14:textId="310AEAC4" w:rsidR="00E6545D" w:rsidRPr="00870100" w:rsidRDefault="00E6545D" w:rsidP="001F71B5">
      <w:pPr>
        <w:spacing w:line="240" w:lineRule="auto"/>
        <w:contextualSpacing/>
        <w:rPr>
          <w:rFonts w:ascii="Garamond" w:hAnsi="Garamond" w:cs="Times New Roman"/>
          <w:bCs/>
          <w:iCs/>
          <w:sz w:val="24"/>
          <w:szCs w:val="24"/>
        </w:rPr>
      </w:pPr>
      <w:r>
        <w:rPr>
          <w:rFonts w:ascii="Garamond" w:hAnsi="Garamond" w:cs="Times New Roman"/>
          <w:bCs/>
          <w:iCs/>
          <w:sz w:val="24"/>
          <w:szCs w:val="24"/>
        </w:rPr>
        <w:t>M.</w:t>
      </w:r>
      <w:r w:rsidR="00DF7011">
        <w:rPr>
          <w:rFonts w:ascii="Garamond" w:hAnsi="Garamond" w:cs="Times New Roman"/>
          <w:bCs/>
          <w:iCs/>
          <w:sz w:val="24"/>
          <w:szCs w:val="24"/>
        </w:rPr>
        <w:t xml:space="preserve"> </w:t>
      </w:r>
      <w:r>
        <w:rPr>
          <w:rFonts w:ascii="Garamond" w:hAnsi="Garamond" w:cs="Times New Roman"/>
          <w:bCs/>
          <w:iCs/>
          <w:sz w:val="24"/>
          <w:szCs w:val="24"/>
        </w:rPr>
        <w:t>L. Small,</w:t>
      </w:r>
      <w:r w:rsidRPr="00E6545D">
        <w:rPr>
          <w:rFonts w:ascii="Garamond" w:hAnsi="Garamond" w:cs="Times New Roman"/>
          <w:bCs/>
          <w:iCs/>
          <w:sz w:val="24"/>
          <w:szCs w:val="24"/>
        </w:rPr>
        <w:t xml:space="preserve"> </w:t>
      </w:r>
      <w:r>
        <w:rPr>
          <w:rFonts w:ascii="Garamond" w:hAnsi="Garamond" w:cs="Times New Roman"/>
          <w:bCs/>
          <w:iCs/>
          <w:sz w:val="24"/>
          <w:szCs w:val="24"/>
        </w:rPr>
        <w:t>“</w:t>
      </w:r>
      <w:r w:rsidRPr="00E6545D">
        <w:rPr>
          <w:rFonts w:ascii="Garamond" w:hAnsi="Garamond" w:cs="Times New Roman"/>
          <w:bCs/>
          <w:iCs/>
          <w:sz w:val="24"/>
          <w:szCs w:val="24"/>
        </w:rPr>
        <w:t xml:space="preserve">How to </w:t>
      </w:r>
      <w:r w:rsidR="00DF7011">
        <w:rPr>
          <w:rFonts w:ascii="Garamond" w:hAnsi="Garamond" w:cs="Times New Roman"/>
          <w:bCs/>
          <w:iCs/>
          <w:sz w:val="24"/>
          <w:szCs w:val="24"/>
        </w:rPr>
        <w:t>C</w:t>
      </w:r>
      <w:r w:rsidRPr="00E6545D">
        <w:rPr>
          <w:rFonts w:ascii="Garamond" w:hAnsi="Garamond" w:cs="Times New Roman"/>
          <w:bCs/>
          <w:iCs/>
          <w:sz w:val="24"/>
          <w:szCs w:val="24"/>
        </w:rPr>
        <w:t xml:space="preserve">onduct a </w:t>
      </w:r>
      <w:r w:rsidR="00DF7011">
        <w:rPr>
          <w:rFonts w:ascii="Garamond" w:hAnsi="Garamond" w:cs="Times New Roman"/>
          <w:bCs/>
          <w:iCs/>
          <w:sz w:val="24"/>
          <w:szCs w:val="24"/>
        </w:rPr>
        <w:t>M</w:t>
      </w:r>
      <w:r w:rsidRPr="00E6545D">
        <w:rPr>
          <w:rFonts w:ascii="Garamond" w:hAnsi="Garamond" w:cs="Times New Roman"/>
          <w:bCs/>
          <w:iCs/>
          <w:sz w:val="24"/>
          <w:szCs w:val="24"/>
        </w:rPr>
        <w:t xml:space="preserve">ixed </w:t>
      </w:r>
      <w:r w:rsidR="00DF7011">
        <w:rPr>
          <w:rFonts w:ascii="Garamond" w:hAnsi="Garamond" w:cs="Times New Roman"/>
          <w:bCs/>
          <w:iCs/>
          <w:sz w:val="24"/>
          <w:szCs w:val="24"/>
        </w:rPr>
        <w:t>M</w:t>
      </w:r>
      <w:r w:rsidRPr="00E6545D">
        <w:rPr>
          <w:rFonts w:ascii="Garamond" w:hAnsi="Garamond" w:cs="Times New Roman"/>
          <w:bCs/>
          <w:iCs/>
          <w:sz w:val="24"/>
          <w:szCs w:val="24"/>
        </w:rPr>
        <w:t xml:space="preserve">ethods </w:t>
      </w:r>
      <w:r w:rsidR="00DF7011">
        <w:rPr>
          <w:rFonts w:ascii="Garamond" w:hAnsi="Garamond" w:cs="Times New Roman"/>
          <w:bCs/>
          <w:iCs/>
          <w:sz w:val="24"/>
          <w:szCs w:val="24"/>
        </w:rPr>
        <w:t>S</w:t>
      </w:r>
      <w:r w:rsidRPr="00E6545D">
        <w:rPr>
          <w:rFonts w:ascii="Garamond" w:hAnsi="Garamond" w:cs="Times New Roman"/>
          <w:bCs/>
          <w:iCs/>
          <w:sz w:val="24"/>
          <w:szCs w:val="24"/>
        </w:rPr>
        <w:t xml:space="preserve">tudy: Recent </w:t>
      </w:r>
      <w:r w:rsidR="00DF7011">
        <w:rPr>
          <w:rFonts w:ascii="Garamond" w:hAnsi="Garamond" w:cs="Times New Roman"/>
          <w:bCs/>
          <w:iCs/>
          <w:sz w:val="24"/>
          <w:szCs w:val="24"/>
        </w:rPr>
        <w:t>T</w:t>
      </w:r>
      <w:r w:rsidRPr="00E6545D">
        <w:rPr>
          <w:rFonts w:ascii="Garamond" w:hAnsi="Garamond" w:cs="Times New Roman"/>
          <w:bCs/>
          <w:iCs/>
          <w:sz w:val="24"/>
          <w:szCs w:val="24"/>
        </w:rPr>
        <w:t xml:space="preserve">rends in a </w:t>
      </w:r>
      <w:r w:rsidR="00DF7011">
        <w:rPr>
          <w:rFonts w:ascii="Garamond" w:hAnsi="Garamond" w:cs="Times New Roman"/>
          <w:bCs/>
          <w:iCs/>
          <w:sz w:val="24"/>
          <w:szCs w:val="24"/>
        </w:rPr>
        <w:t>R</w:t>
      </w:r>
      <w:r w:rsidRPr="00E6545D">
        <w:rPr>
          <w:rFonts w:ascii="Garamond" w:hAnsi="Garamond" w:cs="Times New Roman"/>
          <w:bCs/>
          <w:iCs/>
          <w:sz w:val="24"/>
          <w:szCs w:val="24"/>
        </w:rPr>
        <w:t xml:space="preserve">apidly </w:t>
      </w:r>
      <w:r w:rsidR="00DF7011">
        <w:rPr>
          <w:rFonts w:ascii="Garamond" w:hAnsi="Garamond" w:cs="Times New Roman"/>
          <w:bCs/>
          <w:iCs/>
          <w:sz w:val="24"/>
          <w:szCs w:val="24"/>
        </w:rPr>
        <w:t>G</w:t>
      </w:r>
      <w:r w:rsidRPr="00E6545D">
        <w:rPr>
          <w:rFonts w:ascii="Garamond" w:hAnsi="Garamond" w:cs="Times New Roman"/>
          <w:bCs/>
          <w:iCs/>
          <w:sz w:val="24"/>
          <w:szCs w:val="24"/>
        </w:rPr>
        <w:t xml:space="preserve">rowing </w:t>
      </w:r>
      <w:r w:rsidR="00DF7011">
        <w:rPr>
          <w:rFonts w:ascii="Garamond" w:hAnsi="Garamond" w:cs="Times New Roman"/>
          <w:bCs/>
          <w:iCs/>
          <w:sz w:val="24"/>
          <w:szCs w:val="24"/>
        </w:rPr>
        <w:t>L</w:t>
      </w:r>
      <w:r w:rsidRPr="00E6545D">
        <w:rPr>
          <w:rFonts w:ascii="Garamond" w:hAnsi="Garamond" w:cs="Times New Roman"/>
          <w:bCs/>
          <w:iCs/>
          <w:sz w:val="24"/>
          <w:szCs w:val="24"/>
        </w:rPr>
        <w:t>iterature</w:t>
      </w:r>
      <w:r>
        <w:rPr>
          <w:rFonts w:ascii="Garamond" w:hAnsi="Garamond" w:cs="Times New Roman"/>
          <w:bCs/>
          <w:iCs/>
          <w:sz w:val="24"/>
          <w:szCs w:val="24"/>
        </w:rPr>
        <w:t>,”</w:t>
      </w:r>
      <w:r w:rsidRPr="00E6545D">
        <w:rPr>
          <w:rFonts w:ascii="Garamond" w:hAnsi="Garamond" w:cs="Times New Roman"/>
          <w:bCs/>
          <w:iCs/>
          <w:sz w:val="24"/>
          <w:szCs w:val="24"/>
        </w:rPr>
        <w:t xml:space="preserve"> </w:t>
      </w:r>
      <w:r w:rsidRPr="00E6545D">
        <w:rPr>
          <w:rFonts w:ascii="Garamond" w:hAnsi="Garamond" w:cs="Times New Roman"/>
          <w:bCs/>
          <w:i/>
          <w:sz w:val="24"/>
          <w:szCs w:val="24"/>
        </w:rPr>
        <w:t>Annual Review of Sociology</w:t>
      </w:r>
      <w:r w:rsidR="00DF7011">
        <w:rPr>
          <w:rFonts w:ascii="Garamond" w:hAnsi="Garamond" w:cs="Times New Roman"/>
          <w:bCs/>
          <w:iCs/>
          <w:sz w:val="24"/>
          <w:szCs w:val="24"/>
        </w:rPr>
        <w:t xml:space="preserve"> </w:t>
      </w:r>
      <w:r w:rsidRPr="00E6545D">
        <w:rPr>
          <w:rFonts w:ascii="Garamond" w:hAnsi="Garamond" w:cs="Times New Roman"/>
          <w:bCs/>
          <w:iCs/>
          <w:sz w:val="24"/>
          <w:szCs w:val="24"/>
        </w:rPr>
        <w:t>37</w:t>
      </w:r>
      <w:r w:rsidR="00DF7011">
        <w:rPr>
          <w:rFonts w:ascii="Garamond" w:hAnsi="Garamond" w:cs="Times New Roman"/>
          <w:bCs/>
          <w:iCs/>
          <w:sz w:val="24"/>
          <w:szCs w:val="24"/>
        </w:rPr>
        <w:t xml:space="preserve"> (2011):</w:t>
      </w:r>
      <w:r w:rsidRPr="00E6545D">
        <w:rPr>
          <w:rFonts w:ascii="Garamond" w:hAnsi="Garamond" w:cs="Times New Roman"/>
          <w:bCs/>
          <w:iCs/>
          <w:sz w:val="24"/>
          <w:szCs w:val="24"/>
        </w:rPr>
        <w:t xml:space="preserve"> 57</w:t>
      </w:r>
      <w:r w:rsidR="00DF7011">
        <w:rPr>
          <w:rFonts w:ascii="Garamond" w:hAnsi="Garamond" w:cs="Times New Roman"/>
          <w:bCs/>
          <w:iCs/>
          <w:sz w:val="24"/>
          <w:szCs w:val="24"/>
        </w:rPr>
        <w:t>–</w:t>
      </w:r>
      <w:r w:rsidRPr="00E6545D">
        <w:rPr>
          <w:rFonts w:ascii="Garamond" w:hAnsi="Garamond" w:cs="Times New Roman"/>
          <w:bCs/>
          <w:iCs/>
          <w:sz w:val="24"/>
          <w:szCs w:val="24"/>
        </w:rPr>
        <w:t>86.</w:t>
      </w:r>
    </w:p>
    <w:p w14:paraId="791B0A77" w14:textId="1D6D6155" w:rsidR="003B3777" w:rsidRDefault="003B3777" w:rsidP="001F71B5">
      <w:pPr>
        <w:spacing w:line="240" w:lineRule="auto"/>
        <w:contextualSpacing/>
        <w:rPr>
          <w:rFonts w:ascii="Garamond" w:hAnsi="Garamond" w:cs="Times New Roman"/>
          <w:bCs/>
          <w:iCs/>
          <w:sz w:val="24"/>
          <w:szCs w:val="24"/>
        </w:rPr>
      </w:pPr>
    </w:p>
    <w:p w14:paraId="057B96FB" w14:textId="6E1014B1" w:rsidR="006D78DD" w:rsidRPr="006D78DD" w:rsidRDefault="006D78DD" w:rsidP="006D78DD">
      <w:pPr>
        <w:spacing w:line="240" w:lineRule="auto"/>
        <w:contextualSpacing/>
        <w:rPr>
          <w:rFonts w:ascii="Garamond" w:hAnsi="Garamond" w:cs="Times New Roman"/>
          <w:bCs/>
          <w:iCs/>
          <w:sz w:val="24"/>
          <w:szCs w:val="24"/>
        </w:rPr>
      </w:pPr>
      <w:r w:rsidRPr="006D78DD">
        <w:rPr>
          <w:rFonts w:ascii="Garamond" w:hAnsi="Garamond" w:cs="Times New Roman"/>
          <w:bCs/>
          <w:iCs/>
          <w:sz w:val="24"/>
          <w:szCs w:val="24"/>
        </w:rPr>
        <w:t>Peter Lorentzen, M</w:t>
      </w:r>
      <w:r w:rsidR="00220C6F">
        <w:rPr>
          <w:rFonts w:ascii="Garamond" w:hAnsi="Garamond" w:cs="Times New Roman"/>
          <w:bCs/>
          <w:iCs/>
          <w:sz w:val="24"/>
          <w:szCs w:val="24"/>
        </w:rPr>
        <w:t>.</w:t>
      </w:r>
      <w:r w:rsidRPr="006D78DD">
        <w:rPr>
          <w:rFonts w:ascii="Garamond" w:hAnsi="Garamond" w:cs="Times New Roman"/>
          <w:bCs/>
          <w:iCs/>
          <w:sz w:val="24"/>
          <w:szCs w:val="24"/>
        </w:rPr>
        <w:t xml:space="preserve"> Taylor Fravel, and Jack Paine, “Qualitative Investigation of Theoretical Models: The Value of Process Tracing,” </w:t>
      </w:r>
      <w:r w:rsidRPr="006D78DD">
        <w:rPr>
          <w:rFonts w:ascii="Garamond" w:hAnsi="Garamond" w:cs="Times New Roman"/>
          <w:bCs/>
          <w:i/>
          <w:iCs/>
          <w:sz w:val="24"/>
          <w:szCs w:val="24"/>
        </w:rPr>
        <w:t>Journal of Theoretical Politics</w:t>
      </w:r>
      <w:r w:rsidR="00220C6F">
        <w:rPr>
          <w:rFonts w:ascii="Garamond" w:hAnsi="Garamond" w:cs="Times New Roman"/>
          <w:bCs/>
          <w:i/>
          <w:iCs/>
          <w:sz w:val="24"/>
          <w:szCs w:val="24"/>
        </w:rPr>
        <w:t xml:space="preserve"> </w:t>
      </w:r>
      <w:r w:rsidR="00220C6F" w:rsidRPr="00220C6F">
        <w:rPr>
          <w:rFonts w:ascii="Garamond" w:hAnsi="Garamond" w:cs="Times New Roman"/>
          <w:bCs/>
          <w:sz w:val="24"/>
          <w:szCs w:val="24"/>
        </w:rPr>
        <w:t>29</w:t>
      </w:r>
      <w:r w:rsidR="00220C6F">
        <w:rPr>
          <w:rFonts w:ascii="Garamond" w:hAnsi="Garamond" w:cs="Times New Roman"/>
          <w:bCs/>
          <w:sz w:val="24"/>
          <w:szCs w:val="24"/>
        </w:rPr>
        <w:t>, no.3</w:t>
      </w:r>
      <w:r w:rsidRPr="006D78DD">
        <w:rPr>
          <w:rFonts w:ascii="Garamond" w:hAnsi="Garamond" w:cs="Times New Roman"/>
          <w:bCs/>
          <w:iCs/>
          <w:sz w:val="24"/>
          <w:szCs w:val="24"/>
        </w:rPr>
        <w:t xml:space="preserve"> </w:t>
      </w:r>
      <w:r w:rsidR="00220C6F">
        <w:rPr>
          <w:rFonts w:ascii="Garamond" w:hAnsi="Garamond" w:cs="Times New Roman"/>
          <w:bCs/>
          <w:iCs/>
          <w:sz w:val="24"/>
          <w:szCs w:val="24"/>
        </w:rPr>
        <w:t>(</w:t>
      </w:r>
      <w:r w:rsidRPr="006D78DD">
        <w:rPr>
          <w:rFonts w:ascii="Garamond" w:hAnsi="Garamond" w:cs="Times New Roman"/>
          <w:bCs/>
          <w:iCs/>
          <w:sz w:val="24"/>
          <w:szCs w:val="24"/>
        </w:rPr>
        <w:t>August 2016</w:t>
      </w:r>
      <w:r w:rsidR="00220C6F">
        <w:rPr>
          <w:rFonts w:ascii="Garamond" w:hAnsi="Garamond" w:cs="Times New Roman"/>
          <w:bCs/>
          <w:iCs/>
          <w:sz w:val="24"/>
          <w:szCs w:val="24"/>
        </w:rPr>
        <w:t>): 467–91</w:t>
      </w:r>
      <w:r w:rsidRPr="006D78DD">
        <w:rPr>
          <w:rFonts w:ascii="Garamond" w:hAnsi="Garamond" w:cs="Times New Roman"/>
          <w:bCs/>
          <w:iCs/>
          <w:sz w:val="24"/>
          <w:szCs w:val="24"/>
        </w:rPr>
        <w:t>.</w:t>
      </w:r>
    </w:p>
    <w:p w14:paraId="40FB5869" w14:textId="77777777" w:rsidR="006D78DD" w:rsidRPr="00870100" w:rsidRDefault="006D78DD" w:rsidP="001F71B5">
      <w:pPr>
        <w:spacing w:line="240" w:lineRule="auto"/>
        <w:contextualSpacing/>
        <w:rPr>
          <w:rFonts w:ascii="Garamond" w:hAnsi="Garamond" w:cs="Times New Roman"/>
          <w:bCs/>
          <w:iCs/>
          <w:sz w:val="24"/>
          <w:szCs w:val="24"/>
        </w:rPr>
      </w:pPr>
    </w:p>
    <w:p w14:paraId="75A14047" w14:textId="23758F1C" w:rsidR="003B3777" w:rsidRPr="003B3777" w:rsidRDefault="003B3777" w:rsidP="003B3777">
      <w:pPr>
        <w:spacing w:line="240" w:lineRule="auto"/>
        <w:contextualSpacing/>
        <w:rPr>
          <w:rFonts w:ascii="Garamond" w:hAnsi="Garamond" w:cs="Times New Roman"/>
          <w:bCs/>
          <w:iCs/>
          <w:sz w:val="24"/>
          <w:szCs w:val="24"/>
        </w:rPr>
      </w:pPr>
      <w:r w:rsidRPr="00870100">
        <w:rPr>
          <w:rFonts w:ascii="Garamond" w:hAnsi="Garamond" w:cs="Times New Roman"/>
          <w:bCs/>
          <w:iCs/>
          <w:sz w:val="24"/>
          <w:szCs w:val="24"/>
        </w:rPr>
        <w:t>Ingo Rohlfing, “What You See and What</w:t>
      </w:r>
      <w:r w:rsidRPr="003B3777">
        <w:rPr>
          <w:rFonts w:ascii="Garamond" w:hAnsi="Garamond" w:cs="Times New Roman"/>
          <w:bCs/>
          <w:iCs/>
          <w:sz w:val="24"/>
          <w:szCs w:val="24"/>
        </w:rPr>
        <w:t xml:space="preserve"> You Get: Pitfalls and Principles of Nested Analysis in Comparative Research,” </w:t>
      </w:r>
      <w:r w:rsidRPr="003B3777">
        <w:rPr>
          <w:rFonts w:ascii="Garamond" w:hAnsi="Garamond" w:cs="Times New Roman"/>
          <w:bCs/>
          <w:i/>
          <w:iCs/>
          <w:sz w:val="24"/>
          <w:szCs w:val="24"/>
        </w:rPr>
        <w:t>Comparative Political Studies</w:t>
      </w:r>
      <w:r w:rsidRPr="003B3777">
        <w:rPr>
          <w:rFonts w:ascii="Garamond" w:hAnsi="Garamond" w:cs="Times New Roman"/>
          <w:bCs/>
          <w:iCs/>
          <w:sz w:val="24"/>
          <w:szCs w:val="24"/>
        </w:rPr>
        <w:t xml:space="preserve"> 41, no. 11 (October 2007): 1492–514.</w:t>
      </w:r>
    </w:p>
    <w:p w14:paraId="083BB527" w14:textId="77777777" w:rsidR="003B3777" w:rsidRPr="003B3777" w:rsidRDefault="003B3777" w:rsidP="001F71B5">
      <w:pPr>
        <w:spacing w:line="240" w:lineRule="auto"/>
        <w:contextualSpacing/>
        <w:rPr>
          <w:rFonts w:ascii="Garamond" w:hAnsi="Garamond" w:cs="Times New Roman"/>
          <w:bCs/>
          <w:iCs/>
          <w:sz w:val="24"/>
          <w:szCs w:val="24"/>
        </w:rPr>
      </w:pPr>
    </w:p>
    <w:p w14:paraId="1C3F7318" w14:textId="4EE875CD" w:rsidR="003B3777" w:rsidRDefault="003B3777" w:rsidP="003B3777">
      <w:pPr>
        <w:spacing w:line="240" w:lineRule="auto"/>
        <w:contextualSpacing/>
        <w:rPr>
          <w:rFonts w:ascii="Garamond" w:hAnsi="Garamond" w:cs="Times New Roman"/>
          <w:bCs/>
          <w:iCs/>
          <w:sz w:val="24"/>
          <w:szCs w:val="24"/>
        </w:rPr>
      </w:pPr>
      <w:r w:rsidRPr="003B3777">
        <w:rPr>
          <w:rFonts w:ascii="Garamond" w:hAnsi="Garamond" w:cs="Times New Roman"/>
          <w:bCs/>
          <w:iCs/>
          <w:sz w:val="24"/>
          <w:szCs w:val="24"/>
        </w:rPr>
        <w:t xml:space="preserve">Henry E. Brady, David Collier, and Jason Seawright, “Refocusing the Discussion of Methodology,” in </w:t>
      </w:r>
      <w:r w:rsidRPr="003B3777">
        <w:rPr>
          <w:rFonts w:ascii="Garamond" w:hAnsi="Garamond" w:cs="Times New Roman"/>
          <w:bCs/>
          <w:i/>
          <w:iCs/>
          <w:sz w:val="24"/>
          <w:szCs w:val="24"/>
        </w:rPr>
        <w:t>Rethinking Social Inquiry: Diverse Tools, Shared Standards</w:t>
      </w:r>
      <w:r w:rsidRPr="003B3777">
        <w:rPr>
          <w:rFonts w:ascii="Garamond" w:hAnsi="Garamond" w:cs="Times New Roman"/>
          <w:bCs/>
          <w:iCs/>
          <w:sz w:val="24"/>
          <w:szCs w:val="24"/>
        </w:rPr>
        <w:t>, ed. Henry E. Brady and David Collier (Lanham, MD: Rowman &amp; Littlefield, 2004), 1–20</w:t>
      </w:r>
      <w:r w:rsidR="00220C6F">
        <w:rPr>
          <w:rFonts w:ascii="Garamond" w:hAnsi="Garamond" w:cs="Times New Roman"/>
          <w:bCs/>
          <w:iCs/>
          <w:sz w:val="24"/>
          <w:szCs w:val="24"/>
        </w:rPr>
        <w:t xml:space="preserve"> (</w:t>
      </w:r>
      <w:r w:rsidRPr="003B3777">
        <w:rPr>
          <w:rFonts w:ascii="Garamond" w:hAnsi="Garamond" w:cs="Times New Roman"/>
          <w:bCs/>
          <w:iCs/>
          <w:sz w:val="24"/>
          <w:szCs w:val="24"/>
        </w:rPr>
        <w:t>Chapter 1</w:t>
      </w:r>
      <w:r w:rsidR="00220C6F">
        <w:rPr>
          <w:rFonts w:ascii="Garamond" w:hAnsi="Garamond" w:cs="Times New Roman"/>
          <w:bCs/>
          <w:iCs/>
          <w:sz w:val="24"/>
          <w:szCs w:val="24"/>
        </w:rPr>
        <w:t xml:space="preserve">). </w:t>
      </w:r>
    </w:p>
    <w:p w14:paraId="181AA713" w14:textId="011357B1" w:rsidR="003B3777" w:rsidRDefault="003B3777" w:rsidP="001F71B5">
      <w:pPr>
        <w:spacing w:line="240" w:lineRule="auto"/>
        <w:contextualSpacing/>
        <w:rPr>
          <w:rFonts w:ascii="Garamond" w:hAnsi="Garamond" w:cs="Times New Roman"/>
          <w:b/>
          <w:i/>
          <w:sz w:val="24"/>
          <w:szCs w:val="24"/>
        </w:rPr>
      </w:pPr>
    </w:p>
    <w:p w14:paraId="32FBBD68" w14:textId="77777777" w:rsidR="00BF2D43" w:rsidRPr="00870100" w:rsidRDefault="00BF2D43" w:rsidP="00BF2D43">
      <w:pPr>
        <w:spacing w:line="240" w:lineRule="auto"/>
        <w:contextualSpacing/>
        <w:rPr>
          <w:rFonts w:ascii="Garamond" w:hAnsi="Garamond" w:cs="Times New Roman"/>
          <w:bCs/>
          <w:iCs/>
          <w:sz w:val="24"/>
          <w:szCs w:val="24"/>
        </w:rPr>
      </w:pPr>
      <w:r w:rsidRPr="00870100">
        <w:rPr>
          <w:rFonts w:ascii="Garamond" w:hAnsi="Garamond" w:cs="Times New Roman"/>
          <w:bCs/>
          <w:iCs/>
          <w:sz w:val="24"/>
          <w:szCs w:val="24"/>
        </w:rPr>
        <w:t xml:space="preserve">Hein Goemans and William Spaniel, “Multimethod Research: A Case for Formal Theory,” </w:t>
      </w:r>
      <w:r w:rsidRPr="00870100">
        <w:rPr>
          <w:rFonts w:ascii="Garamond" w:hAnsi="Garamond" w:cs="Times New Roman"/>
          <w:bCs/>
          <w:i/>
          <w:iCs/>
          <w:sz w:val="24"/>
          <w:szCs w:val="24"/>
        </w:rPr>
        <w:t>Security Studies</w:t>
      </w:r>
      <w:r w:rsidRPr="00870100">
        <w:rPr>
          <w:rFonts w:ascii="Garamond" w:hAnsi="Garamond" w:cs="Times New Roman"/>
          <w:bCs/>
          <w:iCs/>
          <w:sz w:val="24"/>
          <w:szCs w:val="24"/>
        </w:rPr>
        <w:t xml:space="preserve"> 25, no. 1 (February 25, 2016): 25–33.</w:t>
      </w:r>
    </w:p>
    <w:p w14:paraId="6941852E" w14:textId="77777777" w:rsidR="00A10587" w:rsidRPr="00A10587" w:rsidRDefault="00A10587" w:rsidP="001F71B5">
      <w:pPr>
        <w:spacing w:line="240" w:lineRule="auto"/>
        <w:contextualSpacing/>
        <w:rPr>
          <w:rFonts w:ascii="Garamond" w:hAnsi="Garamond" w:cs="Times New Roman"/>
          <w:bCs/>
          <w:i/>
          <w:sz w:val="24"/>
          <w:szCs w:val="24"/>
        </w:rPr>
      </w:pPr>
    </w:p>
    <w:p w14:paraId="58FF372A" w14:textId="5463FE41" w:rsidR="009F39B2" w:rsidRDefault="009F39B2" w:rsidP="009F39B2">
      <w:pPr>
        <w:spacing w:line="240" w:lineRule="auto"/>
        <w:contextualSpacing/>
        <w:rPr>
          <w:rFonts w:ascii="Garamond" w:hAnsi="Garamond" w:cs="Times New Roman"/>
          <w:bCs/>
          <w:iCs/>
          <w:sz w:val="24"/>
          <w:szCs w:val="24"/>
        </w:rPr>
      </w:pPr>
      <w:r w:rsidRPr="009F39B2">
        <w:rPr>
          <w:rFonts w:ascii="Garamond" w:hAnsi="Garamond" w:cs="Times New Roman"/>
          <w:bCs/>
          <w:iCs/>
          <w:sz w:val="24"/>
          <w:szCs w:val="24"/>
        </w:rPr>
        <w:t xml:space="preserve">Michael Shalev, “Limits and Alternatives to Multiple Regression in Comparative Research,” </w:t>
      </w:r>
      <w:r w:rsidRPr="009F39B2">
        <w:rPr>
          <w:rFonts w:ascii="Garamond" w:hAnsi="Garamond" w:cs="Times New Roman"/>
          <w:bCs/>
          <w:i/>
          <w:iCs/>
          <w:sz w:val="24"/>
          <w:szCs w:val="24"/>
        </w:rPr>
        <w:t>Comparative Social Research</w:t>
      </w:r>
      <w:r w:rsidRPr="009F39B2">
        <w:rPr>
          <w:rFonts w:ascii="Garamond" w:hAnsi="Garamond" w:cs="Times New Roman"/>
          <w:bCs/>
          <w:iCs/>
          <w:sz w:val="24"/>
          <w:szCs w:val="24"/>
        </w:rPr>
        <w:t xml:space="preserve"> 24 (May 11, 2007): 261–308.</w:t>
      </w:r>
    </w:p>
    <w:p w14:paraId="0D451B41" w14:textId="77777777" w:rsidR="00846B65" w:rsidRDefault="00846B65" w:rsidP="00846B65">
      <w:pPr>
        <w:spacing w:line="240" w:lineRule="auto"/>
        <w:contextualSpacing/>
        <w:rPr>
          <w:rFonts w:ascii="Garamond" w:hAnsi="Garamond" w:cs="Times New Roman"/>
          <w:bCs/>
          <w:iCs/>
          <w:sz w:val="24"/>
          <w:szCs w:val="24"/>
        </w:rPr>
      </w:pPr>
    </w:p>
    <w:p w14:paraId="2F334A48" w14:textId="59C8E54D" w:rsidR="00846B65" w:rsidRPr="00581C95" w:rsidRDefault="00846B65" w:rsidP="00846B65">
      <w:pPr>
        <w:spacing w:line="240" w:lineRule="auto"/>
        <w:contextualSpacing/>
        <w:rPr>
          <w:rFonts w:ascii="Garamond" w:hAnsi="Garamond" w:cs="Times New Roman"/>
          <w:b/>
          <w:i/>
          <w:sz w:val="24"/>
          <w:szCs w:val="24"/>
        </w:rPr>
      </w:pPr>
      <w:r w:rsidRPr="00581C95">
        <w:rPr>
          <w:rFonts w:ascii="Garamond" w:hAnsi="Garamond" w:cs="Times New Roman"/>
          <w:b/>
          <w:i/>
          <w:sz w:val="24"/>
          <w:szCs w:val="24"/>
        </w:rPr>
        <w:t>Interviews Part 1: General techniques</w:t>
      </w:r>
    </w:p>
    <w:p w14:paraId="5DB57270" w14:textId="77777777" w:rsidR="00846B65" w:rsidRPr="00581C95" w:rsidRDefault="00846B65" w:rsidP="00846B65">
      <w:pPr>
        <w:spacing w:line="240" w:lineRule="auto"/>
        <w:contextualSpacing/>
        <w:rPr>
          <w:rFonts w:ascii="Garamond" w:hAnsi="Garamond" w:cs="Times New Roman"/>
          <w:b/>
          <w:i/>
          <w:sz w:val="24"/>
          <w:szCs w:val="24"/>
        </w:rPr>
      </w:pPr>
    </w:p>
    <w:p w14:paraId="4A4A715E" w14:textId="54EA327C" w:rsidR="00846B65" w:rsidRPr="00581C95" w:rsidRDefault="00846B65" w:rsidP="00846B65">
      <w:pPr>
        <w:spacing w:line="240" w:lineRule="auto"/>
        <w:contextualSpacing/>
        <w:rPr>
          <w:rFonts w:ascii="Garamond" w:hAnsi="Garamond" w:cs="Times New Roman"/>
          <w:b/>
          <w:sz w:val="24"/>
          <w:szCs w:val="24"/>
        </w:rPr>
      </w:pPr>
      <w:r w:rsidRPr="00581C95">
        <w:rPr>
          <w:rFonts w:ascii="Garamond" w:hAnsi="Garamond" w:cs="Times New Roman"/>
          <w:b/>
          <w:sz w:val="24"/>
          <w:szCs w:val="24"/>
        </w:rPr>
        <w:fldChar w:fldCharType="begin"/>
      </w:r>
      <w:r w:rsidR="00A96125">
        <w:rPr>
          <w:rFonts w:ascii="Garamond" w:hAnsi="Garamond" w:cs="Times New Roman"/>
          <w:b/>
          <w:sz w:val="24"/>
          <w:szCs w:val="24"/>
        </w:rPr>
        <w:instrText xml:space="preserve"> ADDIN ZOTERO_ITEM CSL_CITATION {"citationID":"Pf2FAHua","properties":{"formattedCitation":"Roberta Bampton, Christopher Cowton, and Yvonne Downs, \\uc0\\u8220{}The E-Interview in Qualitative Research,\\uc0\\u8221{} in {\\i{}Advancing Research Methods with New Technologies} (Hershey, PA: Information Science Reference, 2013), 329\\uc0\\u8211{}43.","plainCitation":"Roberta Bampton, Christopher Cowton, and Yvonne Downs, “The E-Interview in Qualitative Research,” in Advancing Research Methods with New Technologies (Hershey, PA: Information Science Reference, 2013), 329–43.","noteIndex":0},"citationItems":[{"id":13684,"uris":["http://zotero.org/users/4231237/items/8C25I62Z"],"itemData":{"id":13684,"type":"chapter","container-title":"Advancing Research Methods with New Technologies","event-place":"Hershey, PA","page":"329-343","publisher":"Information Science Reference","publisher-place":"Hershey, PA","title":"The E-Interview in Qualitative Research","author":[{"family":"Bampton","given":"Roberta"},{"family":"Cowton","given":"Christopher"},{"family":"Downs","given":"Yvonne"}],"issued":{"date-parts":[["2013"]]}}}],"schema":"https://github.com/citation-style-language/schema/raw/master/csl-citation.json"} </w:instrText>
      </w:r>
      <w:r w:rsidRPr="00581C95">
        <w:rPr>
          <w:rFonts w:ascii="Garamond" w:hAnsi="Garamond" w:cs="Times New Roman"/>
          <w:b/>
          <w:sz w:val="24"/>
          <w:szCs w:val="24"/>
        </w:rPr>
        <w:fldChar w:fldCharType="separate"/>
      </w:r>
      <w:r w:rsidRPr="00581C95">
        <w:rPr>
          <w:rFonts w:ascii="Garamond" w:hAnsi="Garamond" w:cs="Times New Roman"/>
          <w:b/>
          <w:sz w:val="24"/>
          <w:szCs w:val="24"/>
        </w:rPr>
        <w:t xml:space="preserve">Roberta Bampton, Christopher Cowton, and Yvonne Downs, “The E-Interview in Qualitative Research,” in </w:t>
      </w:r>
      <w:r w:rsidRPr="00581C95">
        <w:rPr>
          <w:rFonts w:ascii="Garamond" w:hAnsi="Garamond" w:cs="Times New Roman"/>
          <w:b/>
          <w:i/>
          <w:iCs/>
          <w:sz w:val="24"/>
          <w:szCs w:val="24"/>
        </w:rPr>
        <w:t>Advancing Research Methods with New Technologies</w:t>
      </w:r>
      <w:r w:rsidRPr="00581C95">
        <w:rPr>
          <w:rFonts w:ascii="Garamond" w:hAnsi="Garamond" w:cs="Times New Roman"/>
          <w:b/>
          <w:sz w:val="24"/>
          <w:szCs w:val="24"/>
        </w:rPr>
        <w:t xml:space="preserve"> (Hershey, PA: Information Science Reference, 2013), 329–43.</w:t>
      </w:r>
      <w:r w:rsidRPr="00581C95">
        <w:rPr>
          <w:rFonts w:ascii="Garamond" w:hAnsi="Garamond" w:cs="Times New Roman"/>
          <w:b/>
          <w:sz w:val="24"/>
          <w:szCs w:val="24"/>
        </w:rPr>
        <w:fldChar w:fldCharType="end"/>
      </w:r>
    </w:p>
    <w:p w14:paraId="7ED0B64B" w14:textId="50DF75EB" w:rsidR="00AE68E5" w:rsidRPr="00581C95" w:rsidRDefault="00AE68E5" w:rsidP="009F39B2">
      <w:pPr>
        <w:spacing w:line="240" w:lineRule="auto"/>
        <w:contextualSpacing/>
        <w:rPr>
          <w:rFonts w:ascii="Garamond" w:hAnsi="Garamond" w:cs="Times New Roman"/>
          <w:b/>
          <w:iCs/>
          <w:sz w:val="24"/>
          <w:szCs w:val="24"/>
        </w:rPr>
      </w:pPr>
    </w:p>
    <w:p w14:paraId="61359B2D" w14:textId="6FFFE0F6" w:rsidR="00846B65" w:rsidRPr="00581C95" w:rsidRDefault="00846B65" w:rsidP="00846B65">
      <w:pPr>
        <w:spacing w:line="240" w:lineRule="auto"/>
        <w:contextualSpacing/>
        <w:rPr>
          <w:rFonts w:ascii="Garamond" w:hAnsi="Garamond" w:cs="Times New Roman"/>
          <w:b/>
          <w:sz w:val="24"/>
          <w:szCs w:val="24"/>
        </w:rPr>
      </w:pPr>
      <w:r w:rsidRPr="00581C95">
        <w:rPr>
          <w:rFonts w:ascii="Garamond" w:hAnsi="Garamond" w:cs="Times New Roman"/>
          <w:b/>
          <w:sz w:val="24"/>
          <w:szCs w:val="24"/>
        </w:rPr>
        <w:t xml:space="preserve">Layna Mosley, ed., </w:t>
      </w:r>
      <w:r w:rsidRPr="00581C95">
        <w:rPr>
          <w:rFonts w:ascii="Garamond" w:hAnsi="Garamond" w:cs="Times New Roman"/>
          <w:b/>
          <w:i/>
          <w:iCs/>
          <w:sz w:val="24"/>
          <w:szCs w:val="24"/>
        </w:rPr>
        <w:t>Interview Research in Political Science</w:t>
      </w:r>
      <w:r w:rsidRPr="00581C95">
        <w:rPr>
          <w:rFonts w:ascii="Garamond" w:hAnsi="Garamond" w:cs="Times New Roman"/>
          <w:b/>
          <w:sz w:val="24"/>
          <w:szCs w:val="24"/>
        </w:rPr>
        <w:t xml:space="preserve"> (Ithaca, NY: Cornell University Press, 2013)</w:t>
      </w:r>
      <w:r w:rsidR="00E867E5">
        <w:rPr>
          <w:rFonts w:ascii="Garamond" w:hAnsi="Garamond" w:cs="Times New Roman"/>
          <w:b/>
          <w:sz w:val="24"/>
          <w:szCs w:val="24"/>
        </w:rPr>
        <w:t>.</w:t>
      </w:r>
      <w:r w:rsidRPr="00581C95">
        <w:rPr>
          <w:rFonts w:ascii="Garamond" w:hAnsi="Garamond" w:cs="Times New Roman"/>
          <w:b/>
          <w:sz w:val="24"/>
          <w:szCs w:val="24"/>
        </w:rPr>
        <w:t xml:space="preserve"> </w:t>
      </w:r>
      <w:r w:rsidR="00E867E5">
        <w:rPr>
          <w:rFonts w:ascii="Garamond" w:hAnsi="Garamond" w:cs="Times New Roman"/>
          <w:b/>
          <w:sz w:val="24"/>
          <w:szCs w:val="24"/>
        </w:rPr>
        <w:t>C</w:t>
      </w:r>
      <w:r w:rsidRPr="00581C95">
        <w:rPr>
          <w:rFonts w:ascii="Garamond" w:hAnsi="Garamond" w:cs="Times New Roman"/>
          <w:b/>
          <w:sz w:val="24"/>
          <w:szCs w:val="24"/>
        </w:rPr>
        <w:t>hapter 1</w:t>
      </w:r>
      <w:r w:rsidR="00E867E5">
        <w:rPr>
          <w:rFonts w:ascii="Garamond" w:hAnsi="Garamond" w:cs="Times New Roman"/>
          <w:b/>
          <w:sz w:val="24"/>
          <w:szCs w:val="24"/>
        </w:rPr>
        <w:t>.</w:t>
      </w:r>
    </w:p>
    <w:p w14:paraId="608EFBF1" w14:textId="77777777" w:rsidR="00846B65" w:rsidRPr="00581C95" w:rsidRDefault="00846B65" w:rsidP="00846B65">
      <w:pPr>
        <w:spacing w:line="240" w:lineRule="auto"/>
        <w:contextualSpacing/>
        <w:rPr>
          <w:rFonts w:ascii="Garamond" w:hAnsi="Garamond" w:cs="Times New Roman"/>
          <w:b/>
          <w:sz w:val="24"/>
          <w:szCs w:val="24"/>
        </w:rPr>
      </w:pPr>
    </w:p>
    <w:p w14:paraId="68642A49" w14:textId="77777777" w:rsidR="00846B65" w:rsidRPr="00581C95" w:rsidRDefault="00846B65" w:rsidP="00846B65">
      <w:pPr>
        <w:spacing w:line="240" w:lineRule="auto"/>
        <w:contextualSpacing/>
        <w:rPr>
          <w:rFonts w:ascii="Garamond" w:hAnsi="Garamond" w:cs="Times New Roman"/>
          <w:b/>
          <w:sz w:val="24"/>
          <w:szCs w:val="24"/>
        </w:rPr>
      </w:pPr>
      <w:r w:rsidRPr="00581C95">
        <w:rPr>
          <w:rFonts w:ascii="Garamond" w:hAnsi="Garamond" w:cs="Times New Roman"/>
          <w:b/>
          <w:sz w:val="24"/>
          <w:szCs w:val="24"/>
        </w:rPr>
        <w:t xml:space="preserve">Beth Leech, “Asking Questions: Techniques for Semistructured Interviews,” </w:t>
      </w:r>
      <w:r w:rsidRPr="00581C95">
        <w:rPr>
          <w:rFonts w:ascii="Garamond" w:hAnsi="Garamond" w:cs="Times New Roman"/>
          <w:b/>
          <w:i/>
          <w:iCs/>
          <w:sz w:val="24"/>
          <w:szCs w:val="24"/>
        </w:rPr>
        <w:t>Political Science &amp; Politics</w:t>
      </w:r>
      <w:r w:rsidRPr="00581C95">
        <w:rPr>
          <w:rFonts w:ascii="Garamond" w:hAnsi="Garamond" w:cs="Times New Roman"/>
          <w:b/>
          <w:sz w:val="24"/>
          <w:szCs w:val="24"/>
        </w:rPr>
        <w:t xml:space="preserve"> 35, no. 4 (December 2002): 665–68.</w:t>
      </w:r>
    </w:p>
    <w:p w14:paraId="65DA6CA5" w14:textId="5B58ED2B" w:rsidR="001F71B5" w:rsidRPr="00581C95" w:rsidRDefault="001F71B5" w:rsidP="001F71B5">
      <w:pPr>
        <w:spacing w:line="240" w:lineRule="auto"/>
        <w:contextualSpacing/>
        <w:rPr>
          <w:rFonts w:ascii="Garamond" w:hAnsi="Garamond" w:cs="Times New Roman"/>
          <w:b/>
          <w:i/>
          <w:sz w:val="24"/>
          <w:szCs w:val="24"/>
        </w:rPr>
      </w:pPr>
    </w:p>
    <w:p w14:paraId="022A2F99" w14:textId="35A3779B" w:rsidR="0008044B" w:rsidRDefault="0008044B" w:rsidP="001F71B5">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Robert A. Caro, </w:t>
      </w:r>
      <w:r w:rsidRPr="00581C95">
        <w:rPr>
          <w:rFonts w:ascii="Garamond" w:hAnsi="Garamond" w:cs="Times New Roman"/>
          <w:b/>
          <w:i/>
          <w:iCs/>
          <w:sz w:val="24"/>
          <w:szCs w:val="24"/>
        </w:rPr>
        <w:t>Working: Researching, Interviewing, Writing</w:t>
      </w:r>
      <w:r w:rsidRPr="00581C95">
        <w:rPr>
          <w:rFonts w:ascii="Garamond" w:hAnsi="Garamond" w:cs="Times New Roman"/>
          <w:b/>
          <w:iCs/>
          <w:sz w:val="24"/>
          <w:szCs w:val="24"/>
        </w:rPr>
        <w:t xml:space="preserve"> (New York: Alfred A. Knopf, 2019), 111</w:t>
      </w:r>
      <w:r w:rsidR="00E867E5">
        <w:rPr>
          <w:rFonts w:ascii="Garamond" w:hAnsi="Garamond" w:cs="Times New Roman"/>
          <w:b/>
          <w:iCs/>
          <w:sz w:val="24"/>
          <w:szCs w:val="24"/>
        </w:rPr>
        <w:t>–</w:t>
      </w:r>
      <w:r w:rsidRPr="00581C95">
        <w:rPr>
          <w:rFonts w:ascii="Garamond" w:hAnsi="Garamond" w:cs="Times New Roman"/>
          <w:b/>
          <w:iCs/>
          <w:sz w:val="24"/>
          <w:szCs w:val="24"/>
        </w:rPr>
        <w:t>37</w:t>
      </w:r>
      <w:r w:rsidR="00E867E5">
        <w:rPr>
          <w:rFonts w:ascii="Garamond" w:hAnsi="Garamond" w:cs="Times New Roman"/>
          <w:b/>
          <w:iCs/>
          <w:sz w:val="24"/>
          <w:szCs w:val="24"/>
        </w:rPr>
        <w:t>.</w:t>
      </w:r>
    </w:p>
    <w:p w14:paraId="1A5EE903" w14:textId="77777777" w:rsidR="001B1C19" w:rsidRDefault="001B1C19" w:rsidP="001F71B5">
      <w:pPr>
        <w:spacing w:line="240" w:lineRule="auto"/>
        <w:contextualSpacing/>
        <w:rPr>
          <w:rFonts w:ascii="Garamond" w:hAnsi="Garamond" w:cs="Times New Roman"/>
          <w:b/>
          <w:iCs/>
          <w:sz w:val="24"/>
          <w:szCs w:val="24"/>
        </w:rPr>
      </w:pPr>
    </w:p>
    <w:p w14:paraId="70A17CE1" w14:textId="77777777" w:rsidR="005A1DE0" w:rsidRPr="00581C95" w:rsidRDefault="005A1DE0" w:rsidP="001F71B5">
      <w:pPr>
        <w:spacing w:line="240" w:lineRule="auto"/>
        <w:contextualSpacing/>
        <w:rPr>
          <w:rFonts w:ascii="Garamond" w:hAnsi="Garamond" w:cs="Times New Roman"/>
          <w:b/>
          <w:iCs/>
          <w:sz w:val="24"/>
          <w:szCs w:val="24"/>
        </w:rPr>
      </w:pPr>
    </w:p>
    <w:p w14:paraId="46A704A4" w14:textId="53562914" w:rsidR="0008044B" w:rsidRPr="00016483" w:rsidRDefault="00016483" w:rsidP="001F71B5">
      <w:pPr>
        <w:spacing w:line="240" w:lineRule="auto"/>
        <w:contextualSpacing/>
        <w:rPr>
          <w:rFonts w:ascii="Garamond" w:hAnsi="Garamond" w:cs="Times New Roman"/>
          <w:sz w:val="24"/>
          <w:szCs w:val="24"/>
        </w:rPr>
      </w:pPr>
      <w:r>
        <w:rPr>
          <w:rFonts w:ascii="Garamond" w:hAnsi="Garamond" w:cs="Times New Roman"/>
          <w:b/>
          <w:i/>
          <w:sz w:val="24"/>
          <w:szCs w:val="24"/>
        </w:rPr>
        <w:t xml:space="preserve">February 27: </w:t>
      </w:r>
    </w:p>
    <w:p w14:paraId="11E8B904" w14:textId="280E7A83" w:rsidR="008B46D1" w:rsidRDefault="008B46D1" w:rsidP="001F71B5">
      <w:pPr>
        <w:spacing w:line="240" w:lineRule="auto"/>
        <w:contextualSpacing/>
        <w:rPr>
          <w:rFonts w:ascii="Garamond" w:hAnsi="Garamond" w:cs="Times New Roman"/>
          <w:i/>
          <w:iCs/>
          <w:sz w:val="24"/>
          <w:szCs w:val="24"/>
        </w:rPr>
      </w:pPr>
    </w:p>
    <w:p w14:paraId="4E7EC5EF" w14:textId="6F80CC3E" w:rsidR="008B46D1" w:rsidRPr="00581C95" w:rsidRDefault="008B46D1" w:rsidP="001F71B5">
      <w:pPr>
        <w:spacing w:line="240" w:lineRule="auto"/>
        <w:contextualSpacing/>
        <w:rPr>
          <w:rFonts w:ascii="Garamond" w:hAnsi="Garamond" w:cs="Times New Roman"/>
          <w:b/>
          <w:bCs/>
          <w:i/>
          <w:iCs/>
          <w:sz w:val="24"/>
          <w:szCs w:val="24"/>
        </w:rPr>
      </w:pPr>
      <w:r w:rsidRPr="00581C95">
        <w:rPr>
          <w:rFonts w:ascii="Garamond" w:hAnsi="Garamond" w:cs="Times New Roman"/>
          <w:b/>
          <w:bCs/>
          <w:i/>
          <w:iCs/>
          <w:sz w:val="24"/>
          <w:szCs w:val="24"/>
        </w:rPr>
        <w:t>Ethnography</w:t>
      </w:r>
      <w:r w:rsidR="00714D8A" w:rsidRPr="00581C95">
        <w:rPr>
          <w:rFonts w:ascii="Garamond" w:hAnsi="Garamond" w:cs="Times New Roman"/>
          <w:b/>
          <w:bCs/>
          <w:i/>
          <w:iCs/>
          <w:sz w:val="24"/>
          <w:szCs w:val="24"/>
        </w:rPr>
        <w:t xml:space="preserve"> and </w:t>
      </w:r>
      <w:r w:rsidR="00A10587" w:rsidRPr="00581C95">
        <w:rPr>
          <w:rFonts w:ascii="Garamond" w:hAnsi="Garamond" w:cs="Times New Roman"/>
          <w:b/>
          <w:bCs/>
          <w:i/>
          <w:iCs/>
          <w:sz w:val="24"/>
          <w:szCs w:val="24"/>
        </w:rPr>
        <w:t>interpretvism</w:t>
      </w:r>
    </w:p>
    <w:p w14:paraId="7978CEEE" w14:textId="2AA786A9" w:rsidR="00300771" w:rsidRPr="00581C95" w:rsidRDefault="00300771" w:rsidP="001F71B5">
      <w:pPr>
        <w:spacing w:line="240" w:lineRule="auto"/>
        <w:contextualSpacing/>
        <w:rPr>
          <w:rFonts w:ascii="Garamond" w:hAnsi="Garamond" w:cs="Times New Roman"/>
          <w:b/>
          <w:bCs/>
          <w:i/>
          <w:iCs/>
          <w:sz w:val="24"/>
          <w:szCs w:val="24"/>
        </w:rPr>
      </w:pPr>
    </w:p>
    <w:p w14:paraId="20AA6367" w14:textId="46B042D2" w:rsidR="00262275" w:rsidRPr="00581C95" w:rsidRDefault="00262275" w:rsidP="0026227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Dvora Yanow and Peregrine Schwartz-Shea, eds., </w:t>
      </w:r>
      <w:r w:rsidRPr="00581C95">
        <w:rPr>
          <w:rFonts w:ascii="Garamond" w:hAnsi="Garamond" w:cs="Times New Roman"/>
          <w:b/>
          <w:bCs/>
          <w:i/>
          <w:iCs/>
          <w:sz w:val="24"/>
          <w:szCs w:val="24"/>
        </w:rPr>
        <w:t>Interpretation and Method: Empirical Research Methods and the Interpretive Turn</w:t>
      </w:r>
      <w:r w:rsidRPr="00581C95">
        <w:rPr>
          <w:rFonts w:ascii="Garamond" w:hAnsi="Garamond" w:cs="Times New Roman"/>
          <w:b/>
          <w:bCs/>
          <w:sz w:val="24"/>
          <w:szCs w:val="24"/>
        </w:rPr>
        <w:t>, 2nd ed. (New York: Routledge, 2015), xiii–xxxi</w:t>
      </w:r>
      <w:r w:rsidR="008A1D63">
        <w:rPr>
          <w:rFonts w:ascii="Garamond" w:hAnsi="Garamond" w:cs="Times New Roman"/>
          <w:b/>
          <w:bCs/>
          <w:sz w:val="24"/>
          <w:szCs w:val="24"/>
        </w:rPr>
        <w:t xml:space="preserve"> (</w:t>
      </w:r>
      <w:r w:rsidRPr="00581C95">
        <w:rPr>
          <w:rFonts w:ascii="Garamond" w:hAnsi="Garamond" w:cs="Times New Roman"/>
          <w:b/>
          <w:bCs/>
          <w:sz w:val="24"/>
          <w:szCs w:val="24"/>
        </w:rPr>
        <w:t>Introduction</w:t>
      </w:r>
      <w:r w:rsidR="008A1D63">
        <w:rPr>
          <w:rFonts w:ascii="Garamond" w:hAnsi="Garamond" w:cs="Times New Roman"/>
          <w:b/>
          <w:bCs/>
          <w:sz w:val="24"/>
          <w:szCs w:val="24"/>
        </w:rPr>
        <w:t xml:space="preserve">). </w:t>
      </w:r>
      <w:r w:rsidRPr="00581C95">
        <w:rPr>
          <w:rFonts w:ascii="Garamond" w:hAnsi="Garamond" w:cs="Times New Roman"/>
          <w:b/>
          <w:bCs/>
          <w:sz w:val="24"/>
          <w:szCs w:val="24"/>
        </w:rPr>
        <w:t xml:space="preserve"> </w:t>
      </w:r>
    </w:p>
    <w:p w14:paraId="2C391AFD" w14:textId="77777777" w:rsidR="00262275" w:rsidRPr="00581C95" w:rsidRDefault="00262275" w:rsidP="00262275">
      <w:pPr>
        <w:spacing w:line="240" w:lineRule="auto"/>
        <w:contextualSpacing/>
        <w:rPr>
          <w:rFonts w:ascii="Garamond" w:hAnsi="Garamond" w:cs="Times New Roman"/>
          <w:b/>
          <w:bCs/>
          <w:sz w:val="24"/>
          <w:szCs w:val="24"/>
        </w:rPr>
      </w:pPr>
    </w:p>
    <w:p w14:paraId="43B435D8" w14:textId="6225ABDE" w:rsidR="00262275" w:rsidRPr="00581C95" w:rsidRDefault="00262275" w:rsidP="0026227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lastRenderedPageBreak/>
        <w:t xml:space="preserve">Dvora Yanow, “Thinking Interpretively: Philosophical Presuppositions and the Human Sciences,” in </w:t>
      </w:r>
      <w:r w:rsidRPr="00581C95">
        <w:rPr>
          <w:rFonts w:ascii="Garamond" w:hAnsi="Garamond" w:cs="Times New Roman"/>
          <w:b/>
          <w:bCs/>
          <w:i/>
          <w:iCs/>
          <w:sz w:val="24"/>
          <w:szCs w:val="24"/>
        </w:rPr>
        <w:t>Interpretation and Method: Empirical Research Methods and the Interpretive Turn</w:t>
      </w:r>
      <w:r w:rsidRPr="00581C95">
        <w:rPr>
          <w:rFonts w:ascii="Garamond" w:hAnsi="Garamond" w:cs="Times New Roman"/>
          <w:b/>
          <w:bCs/>
          <w:sz w:val="24"/>
          <w:szCs w:val="24"/>
        </w:rPr>
        <w:t>, ed. Dvora Yanow and Peregrine Schwartz-Shea (</w:t>
      </w:r>
      <w:r w:rsidR="00FF38A3" w:rsidRPr="00581C95">
        <w:rPr>
          <w:rFonts w:ascii="Garamond" w:hAnsi="Garamond" w:cs="Times New Roman"/>
          <w:b/>
          <w:bCs/>
          <w:sz w:val="24"/>
          <w:szCs w:val="24"/>
        </w:rPr>
        <w:t xml:space="preserve">New York: </w:t>
      </w:r>
      <w:r w:rsidRPr="00581C95">
        <w:rPr>
          <w:rFonts w:ascii="Garamond" w:hAnsi="Garamond" w:cs="Times New Roman"/>
          <w:b/>
          <w:bCs/>
          <w:sz w:val="24"/>
          <w:szCs w:val="24"/>
        </w:rPr>
        <w:t>Routledge, 2015), 5–26</w:t>
      </w:r>
      <w:r w:rsidR="00FF38A3">
        <w:rPr>
          <w:rFonts w:ascii="Garamond" w:hAnsi="Garamond" w:cs="Times New Roman"/>
          <w:b/>
          <w:bCs/>
          <w:sz w:val="24"/>
          <w:szCs w:val="24"/>
        </w:rPr>
        <w:t xml:space="preserve"> (</w:t>
      </w:r>
      <w:r w:rsidRPr="00581C95">
        <w:rPr>
          <w:rFonts w:ascii="Garamond" w:hAnsi="Garamond" w:cs="Times New Roman"/>
          <w:b/>
          <w:bCs/>
          <w:sz w:val="24"/>
          <w:szCs w:val="24"/>
        </w:rPr>
        <w:t>Chapter 1</w:t>
      </w:r>
      <w:r w:rsidR="00FF38A3">
        <w:rPr>
          <w:rFonts w:ascii="Garamond" w:hAnsi="Garamond" w:cs="Times New Roman"/>
          <w:b/>
          <w:bCs/>
          <w:sz w:val="24"/>
          <w:szCs w:val="24"/>
        </w:rPr>
        <w:t xml:space="preserve">). </w:t>
      </w:r>
      <w:r w:rsidRPr="00581C95">
        <w:rPr>
          <w:rFonts w:ascii="Garamond" w:hAnsi="Garamond" w:cs="Times New Roman"/>
          <w:b/>
          <w:bCs/>
          <w:sz w:val="24"/>
          <w:szCs w:val="24"/>
        </w:rPr>
        <w:t xml:space="preserve"> </w:t>
      </w:r>
    </w:p>
    <w:p w14:paraId="77E5C128" w14:textId="028CEC3F" w:rsidR="00300771" w:rsidRPr="00581C95" w:rsidRDefault="00300771" w:rsidP="001F71B5">
      <w:pPr>
        <w:spacing w:line="240" w:lineRule="auto"/>
        <w:contextualSpacing/>
        <w:rPr>
          <w:rFonts w:ascii="Garamond" w:hAnsi="Garamond" w:cs="Times New Roman"/>
          <w:b/>
          <w:bCs/>
          <w:sz w:val="24"/>
          <w:szCs w:val="24"/>
        </w:rPr>
      </w:pPr>
    </w:p>
    <w:p w14:paraId="3EAC9E1C" w14:textId="46663B9F" w:rsidR="00714D8A" w:rsidRPr="00581C95" w:rsidRDefault="00463649"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Robert M.</w:t>
      </w:r>
      <w:r>
        <w:rPr>
          <w:rFonts w:ascii="Garamond" w:hAnsi="Garamond" w:cs="Times New Roman"/>
          <w:b/>
          <w:bCs/>
          <w:sz w:val="24"/>
          <w:szCs w:val="24"/>
        </w:rPr>
        <w:t xml:space="preserve"> </w:t>
      </w:r>
      <w:r w:rsidR="00122EAC" w:rsidRPr="00581C95">
        <w:rPr>
          <w:rFonts w:ascii="Garamond" w:hAnsi="Garamond" w:cs="Times New Roman"/>
          <w:b/>
          <w:bCs/>
          <w:sz w:val="24"/>
          <w:szCs w:val="24"/>
        </w:rPr>
        <w:t>Emerson, Rachel I. Fretz, and Linda L. Shaw</w:t>
      </w:r>
      <w:r>
        <w:rPr>
          <w:rFonts w:ascii="Garamond" w:hAnsi="Garamond" w:cs="Times New Roman"/>
          <w:b/>
          <w:bCs/>
          <w:sz w:val="24"/>
          <w:szCs w:val="24"/>
        </w:rPr>
        <w:t>,</w:t>
      </w:r>
      <w:r w:rsidR="00122EAC" w:rsidRPr="00581C95">
        <w:rPr>
          <w:rFonts w:ascii="Garamond" w:hAnsi="Garamond" w:cs="Times New Roman"/>
          <w:b/>
          <w:bCs/>
          <w:sz w:val="24"/>
          <w:szCs w:val="24"/>
        </w:rPr>
        <w:t xml:space="preserve"> </w:t>
      </w:r>
      <w:r w:rsidR="00122EAC" w:rsidRPr="00581C95">
        <w:rPr>
          <w:rFonts w:ascii="Garamond" w:hAnsi="Garamond" w:cs="Times New Roman"/>
          <w:b/>
          <w:bCs/>
          <w:i/>
          <w:iCs/>
          <w:sz w:val="24"/>
          <w:szCs w:val="24"/>
        </w:rPr>
        <w:t>Writing Ethnographic Fieldnotes</w:t>
      </w:r>
      <w:r w:rsidR="00122EAC" w:rsidRPr="00581C95">
        <w:rPr>
          <w:rFonts w:ascii="Garamond" w:hAnsi="Garamond" w:cs="Times New Roman"/>
          <w:b/>
          <w:bCs/>
          <w:sz w:val="24"/>
          <w:szCs w:val="24"/>
        </w:rPr>
        <w:t xml:space="preserve">, </w:t>
      </w:r>
      <w:r w:rsidR="000C3C8B">
        <w:rPr>
          <w:rFonts w:ascii="Garamond" w:hAnsi="Garamond" w:cs="Times New Roman"/>
          <w:b/>
          <w:bCs/>
          <w:sz w:val="24"/>
          <w:szCs w:val="24"/>
        </w:rPr>
        <w:t xml:space="preserve">2nd ed. </w:t>
      </w:r>
      <w:r>
        <w:rPr>
          <w:rFonts w:ascii="Garamond" w:hAnsi="Garamond" w:cs="Times New Roman"/>
          <w:b/>
          <w:bCs/>
          <w:sz w:val="24"/>
          <w:szCs w:val="24"/>
        </w:rPr>
        <w:t>(</w:t>
      </w:r>
      <w:r w:rsidR="000C3C8B">
        <w:rPr>
          <w:rFonts w:ascii="Garamond" w:hAnsi="Garamond" w:cs="Times New Roman"/>
          <w:b/>
          <w:bCs/>
          <w:sz w:val="24"/>
          <w:szCs w:val="24"/>
        </w:rPr>
        <w:t xml:space="preserve">Chicago: </w:t>
      </w:r>
      <w:r w:rsidR="00122EAC" w:rsidRPr="00581C95">
        <w:rPr>
          <w:rFonts w:ascii="Garamond" w:hAnsi="Garamond" w:cs="Times New Roman"/>
          <w:b/>
          <w:bCs/>
          <w:sz w:val="24"/>
          <w:szCs w:val="24"/>
        </w:rPr>
        <w:t>University of Chicago Press, 2011</w:t>
      </w:r>
      <w:r>
        <w:rPr>
          <w:rFonts w:ascii="Garamond" w:hAnsi="Garamond" w:cs="Times New Roman"/>
          <w:b/>
          <w:bCs/>
          <w:sz w:val="24"/>
          <w:szCs w:val="24"/>
        </w:rPr>
        <w:t>)</w:t>
      </w:r>
      <w:r w:rsidR="00122EAC" w:rsidRPr="00581C95">
        <w:rPr>
          <w:rFonts w:ascii="Garamond" w:hAnsi="Garamond" w:cs="Times New Roman"/>
          <w:b/>
          <w:bCs/>
          <w:sz w:val="24"/>
          <w:szCs w:val="24"/>
        </w:rPr>
        <w:t>. Chapters 1</w:t>
      </w:r>
      <w:r>
        <w:rPr>
          <w:rFonts w:ascii="Garamond" w:hAnsi="Garamond" w:cs="Times New Roman"/>
          <w:b/>
          <w:bCs/>
          <w:sz w:val="24"/>
          <w:szCs w:val="24"/>
        </w:rPr>
        <w:t xml:space="preserve"> and</w:t>
      </w:r>
      <w:r w:rsidR="00122EAC" w:rsidRPr="00581C95">
        <w:rPr>
          <w:rFonts w:ascii="Garamond" w:hAnsi="Garamond" w:cs="Times New Roman"/>
          <w:b/>
          <w:bCs/>
          <w:sz w:val="24"/>
          <w:szCs w:val="24"/>
        </w:rPr>
        <w:t xml:space="preserve"> 2</w:t>
      </w:r>
      <w:r>
        <w:rPr>
          <w:rFonts w:ascii="Garamond" w:hAnsi="Garamond" w:cs="Times New Roman"/>
          <w:b/>
          <w:bCs/>
          <w:sz w:val="24"/>
          <w:szCs w:val="24"/>
        </w:rPr>
        <w:t>.</w:t>
      </w:r>
    </w:p>
    <w:p w14:paraId="6B45B971" w14:textId="6CE81BDC" w:rsidR="002D01A1" w:rsidRPr="00581C95" w:rsidRDefault="002D01A1" w:rsidP="001F71B5">
      <w:pPr>
        <w:spacing w:line="240" w:lineRule="auto"/>
        <w:contextualSpacing/>
        <w:rPr>
          <w:rFonts w:ascii="Garamond" w:hAnsi="Garamond" w:cs="Times New Roman"/>
          <w:b/>
          <w:bCs/>
          <w:sz w:val="24"/>
          <w:szCs w:val="24"/>
        </w:rPr>
      </w:pPr>
    </w:p>
    <w:p w14:paraId="1F81B1D9" w14:textId="7FB03552" w:rsidR="002D01A1" w:rsidRPr="00581C95" w:rsidRDefault="002D01A1"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Lisa Wedeen</w:t>
      </w:r>
      <w:r w:rsidR="00F725DC">
        <w:rPr>
          <w:rFonts w:ascii="Garamond" w:hAnsi="Garamond" w:cs="Times New Roman"/>
          <w:b/>
          <w:bCs/>
          <w:sz w:val="24"/>
          <w:szCs w:val="24"/>
        </w:rPr>
        <w:t>,</w:t>
      </w:r>
      <w:r w:rsidRPr="00581C95">
        <w:rPr>
          <w:rFonts w:ascii="Garamond" w:hAnsi="Garamond" w:cs="Times New Roman"/>
          <w:b/>
          <w:bCs/>
          <w:sz w:val="24"/>
          <w:szCs w:val="24"/>
        </w:rPr>
        <w:t xml:space="preserve"> “Reflections on Ethnographic Work in Political Science</w:t>
      </w:r>
      <w:r w:rsidR="00F725DC">
        <w:rPr>
          <w:rFonts w:ascii="Garamond" w:hAnsi="Garamond" w:cs="Times New Roman"/>
          <w:b/>
          <w:bCs/>
          <w:sz w:val="24"/>
          <w:szCs w:val="24"/>
        </w:rPr>
        <w:t>,</w:t>
      </w:r>
      <w:r w:rsidRPr="00581C95">
        <w:rPr>
          <w:rFonts w:ascii="Garamond" w:hAnsi="Garamond" w:cs="Times New Roman"/>
          <w:b/>
          <w:bCs/>
          <w:sz w:val="24"/>
          <w:szCs w:val="24"/>
        </w:rPr>
        <w:t xml:space="preserve">” </w:t>
      </w:r>
      <w:r w:rsidRPr="00581C95">
        <w:rPr>
          <w:rFonts w:ascii="Garamond" w:hAnsi="Garamond" w:cs="Times New Roman"/>
          <w:b/>
          <w:bCs/>
          <w:i/>
          <w:iCs/>
          <w:sz w:val="24"/>
          <w:szCs w:val="24"/>
        </w:rPr>
        <w:t>Annual Review of Political Science</w:t>
      </w:r>
      <w:r w:rsidRPr="00581C95">
        <w:rPr>
          <w:rFonts w:ascii="Garamond" w:hAnsi="Garamond" w:cs="Times New Roman"/>
          <w:b/>
          <w:bCs/>
          <w:sz w:val="24"/>
          <w:szCs w:val="24"/>
        </w:rPr>
        <w:t xml:space="preserve"> </w:t>
      </w:r>
      <w:r w:rsidR="00F725DC" w:rsidRPr="00581C95">
        <w:rPr>
          <w:rFonts w:ascii="Garamond" w:hAnsi="Garamond" w:cs="Times New Roman"/>
          <w:b/>
          <w:bCs/>
          <w:sz w:val="24"/>
          <w:szCs w:val="24"/>
        </w:rPr>
        <w:t xml:space="preserve">13 </w:t>
      </w:r>
      <w:r w:rsidRPr="00581C95">
        <w:rPr>
          <w:rFonts w:ascii="Garamond" w:hAnsi="Garamond" w:cs="Times New Roman"/>
          <w:b/>
          <w:bCs/>
          <w:sz w:val="24"/>
          <w:szCs w:val="24"/>
        </w:rPr>
        <w:t>(June 2010): 255</w:t>
      </w:r>
      <w:r w:rsidR="00F725DC">
        <w:rPr>
          <w:rFonts w:ascii="Garamond" w:hAnsi="Garamond" w:cs="Times New Roman"/>
          <w:b/>
          <w:bCs/>
          <w:sz w:val="24"/>
          <w:szCs w:val="24"/>
        </w:rPr>
        <w:t>–</w:t>
      </w:r>
      <w:r w:rsidRPr="00581C95">
        <w:rPr>
          <w:rFonts w:ascii="Garamond" w:hAnsi="Garamond" w:cs="Times New Roman"/>
          <w:b/>
          <w:bCs/>
          <w:sz w:val="24"/>
          <w:szCs w:val="24"/>
        </w:rPr>
        <w:t>72.</w:t>
      </w:r>
    </w:p>
    <w:p w14:paraId="18638266" w14:textId="3C8E3CD3" w:rsidR="00122EAC" w:rsidRDefault="00122EAC" w:rsidP="001F71B5">
      <w:pPr>
        <w:spacing w:line="240" w:lineRule="auto"/>
        <w:contextualSpacing/>
        <w:rPr>
          <w:rFonts w:ascii="Garamond" w:hAnsi="Garamond" w:cs="Times New Roman"/>
          <w:sz w:val="24"/>
          <w:szCs w:val="24"/>
        </w:rPr>
      </w:pPr>
    </w:p>
    <w:p w14:paraId="29B35598" w14:textId="33D0788A" w:rsidR="005F017F" w:rsidRPr="005F017F" w:rsidRDefault="005F017F" w:rsidP="005F017F">
      <w:pPr>
        <w:spacing w:line="240" w:lineRule="auto"/>
        <w:contextualSpacing/>
        <w:rPr>
          <w:rFonts w:ascii="Garamond" w:hAnsi="Garamond" w:cs="Times New Roman"/>
          <w:b/>
          <w:bCs/>
          <w:sz w:val="24"/>
          <w:szCs w:val="24"/>
        </w:rPr>
      </w:pPr>
      <w:r w:rsidRPr="005F017F">
        <w:rPr>
          <w:rFonts w:ascii="Garamond" w:hAnsi="Garamond" w:cs="Times New Roman"/>
          <w:b/>
          <w:bCs/>
          <w:sz w:val="24"/>
          <w:szCs w:val="24"/>
        </w:rPr>
        <w:t xml:space="preserve">Diane Fu and Erica S. Simmons, “Ethnographic Approaches to Contentious Politics: The What, How, and Why,” </w:t>
      </w:r>
      <w:r w:rsidRPr="005F017F">
        <w:rPr>
          <w:rFonts w:ascii="Garamond" w:hAnsi="Garamond" w:cs="Times New Roman"/>
          <w:b/>
          <w:bCs/>
          <w:i/>
          <w:iCs/>
          <w:sz w:val="24"/>
          <w:szCs w:val="24"/>
        </w:rPr>
        <w:t>Comparative Political Studies</w:t>
      </w:r>
      <w:r w:rsidRPr="005F017F">
        <w:rPr>
          <w:rFonts w:ascii="Garamond" w:hAnsi="Garamond" w:cs="Times New Roman"/>
          <w:b/>
          <w:bCs/>
          <w:sz w:val="24"/>
          <w:szCs w:val="24"/>
        </w:rPr>
        <w:t xml:space="preserve"> 54, no. 10 (June 2021): 1695–721.</w:t>
      </w:r>
    </w:p>
    <w:p w14:paraId="0AC459BD" w14:textId="77777777" w:rsidR="005F017F" w:rsidRDefault="005F017F" w:rsidP="001F71B5">
      <w:pPr>
        <w:spacing w:line="240" w:lineRule="auto"/>
        <w:contextualSpacing/>
        <w:rPr>
          <w:rFonts w:ascii="Garamond" w:hAnsi="Garamond" w:cs="Times New Roman"/>
          <w:sz w:val="24"/>
          <w:szCs w:val="24"/>
        </w:rPr>
      </w:pPr>
    </w:p>
    <w:p w14:paraId="37C04637" w14:textId="7DF5BB78" w:rsidR="00122EAC" w:rsidRDefault="00122EAC" w:rsidP="001F71B5">
      <w:pPr>
        <w:spacing w:line="240" w:lineRule="auto"/>
        <w:contextualSpacing/>
        <w:rPr>
          <w:rFonts w:ascii="Garamond" w:hAnsi="Garamond" w:cs="Times New Roman"/>
          <w:sz w:val="24"/>
          <w:szCs w:val="24"/>
        </w:rPr>
      </w:pPr>
      <w:r>
        <w:rPr>
          <w:rFonts w:ascii="Garamond" w:hAnsi="Garamond" w:cs="Times New Roman"/>
          <w:sz w:val="24"/>
          <w:szCs w:val="24"/>
        </w:rPr>
        <w:t>OPTIONAL:</w:t>
      </w:r>
    </w:p>
    <w:p w14:paraId="13ECB984" w14:textId="77777777" w:rsidR="005F017F" w:rsidRDefault="005F017F" w:rsidP="001F71B5">
      <w:pPr>
        <w:spacing w:line="240" w:lineRule="auto"/>
        <w:contextualSpacing/>
        <w:rPr>
          <w:rFonts w:ascii="Garamond" w:hAnsi="Garamond" w:cs="Times New Roman"/>
          <w:sz w:val="24"/>
          <w:szCs w:val="24"/>
        </w:rPr>
      </w:pPr>
    </w:p>
    <w:p w14:paraId="3BB62A01" w14:textId="6C658A77" w:rsidR="005F017F" w:rsidRDefault="005F017F" w:rsidP="001F71B5">
      <w:pPr>
        <w:spacing w:line="240" w:lineRule="auto"/>
        <w:contextualSpacing/>
        <w:rPr>
          <w:rFonts w:ascii="Garamond" w:hAnsi="Garamond" w:cs="Times New Roman"/>
          <w:sz w:val="24"/>
          <w:szCs w:val="24"/>
        </w:rPr>
      </w:pPr>
      <w:r w:rsidRPr="005F017F">
        <w:rPr>
          <w:rFonts w:ascii="Garamond" w:hAnsi="Garamond" w:cs="Times New Roman"/>
          <w:sz w:val="24"/>
          <w:szCs w:val="24"/>
        </w:rPr>
        <w:t xml:space="preserve">Ed Schatz, “Ethnography Immersion and the Study of Politics,” in Ed Schatz, ed. </w:t>
      </w:r>
      <w:r w:rsidRPr="005F017F">
        <w:rPr>
          <w:rFonts w:ascii="Garamond" w:hAnsi="Garamond" w:cs="Times New Roman"/>
          <w:i/>
          <w:iCs/>
          <w:sz w:val="24"/>
          <w:szCs w:val="24"/>
        </w:rPr>
        <w:t>Political Ethnography: What Immersion Contributes to the Study of Power</w:t>
      </w:r>
      <w:r w:rsidRPr="005F017F">
        <w:rPr>
          <w:rFonts w:ascii="Garamond" w:hAnsi="Garamond" w:cs="Times New Roman"/>
          <w:sz w:val="24"/>
          <w:szCs w:val="24"/>
        </w:rPr>
        <w:t xml:space="preserve"> </w:t>
      </w:r>
      <w:r w:rsidR="00490D10">
        <w:rPr>
          <w:rFonts w:ascii="Garamond" w:hAnsi="Garamond" w:cs="Times New Roman"/>
          <w:sz w:val="24"/>
          <w:szCs w:val="24"/>
        </w:rPr>
        <w:t>(</w:t>
      </w:r>
      <w:r w:rsidRPr="005F017F">
        <w:rPr>
          <w:rFonts w:ascii="Garamond" w:hAnsi="Garamond" w:cs="Times New Roman"/>
          <w:sz w:val="24"/>
          <w:szCs w:val="24"/>
        </w:rPr>
        <w:t>Chicago: University of Chicago Press, 2009</w:t>
      </w:r>
      <w:r w:rsidR="00490D10">
        <w:rPr>
          <w:rFonts w:ascii="Garamond" w:hAnsi="Garamond" w:cs="Times New Roman"/>
          <w:sz w:val="24"/>
          <w:szCs w:val="24"/>
        </w:rPr>
        <w:t xml:space="preserve">). </w:t>
      </w:r>
    </w:p>
    <w:p w14:paraId="0B09D6DF" w14:textId="1384D572" w:rsidR="00122EAC" w:rsidRDefault="00122EAC" w:rsidP="001F71B5">
      <w:pPr>
        <w:spacing w:line="240" w:lineRule="auto"/>
        <w:contextualSpacing/>
        <w:rPr>
          <w:rFonts w:ascii="Garamond" w:hAnsi="Garamond" w:cs="Times New Roman"/>
          <w:sz w:val="24"/>
          <w:szCs w:val="24"/>
        </w:rPr>
      </w:pPr>
    </w:p>
    <w:p w14:paraId="3456124C" w14:textId="6284B3E9" w:rsidR="00122EAC" w:rsidRDefault="00122EAC" w:rsidP="00122EAC">
      <w:pPr>
        <w:spacing w:line="240" w:lineRule="auto"/>
        <w:contextualSpacing/>
        <w:rPr>
          <w:rFonts w:ascii="Garamond" w:hAnsi="Garamond" w:cs="Times New Roman"/>
          <w:sz w:val="24"/>
          <w:szCs w:val="24"/>
        </w:rPr>
      </w:pPr>
      <w:r>
        <w:rPr>
          <w:rFonts w:ascii="Garamond" w:hAnsi="Garamond" w:cs="Times New Roman"/>
          <w:sz w:val="24"/>
          <w:szCs w:val="24"/>
        </w:rPr>
        <w:t xml:space="preserve">Martyn Hammersley and Paul Atkinson, </w:t>
      </w:r>
      <w:r>
        <w:rPr>
          <w:rFonts w:ascii="Garamond" w:hAnsi="Garamond" w:cs="Times New Roman"/>
          <w:i/>
          <w:iCs/>
          <w:sz w:val="24"/>
          <w:szCs w:val="24"/>
        </w:rPr>
        <w:t>Ethnography: Principles in Practice</w:t>
      </w:r>
      <w:r>
        <w:rPr>
          <w:rFonts w:ascii="Garamond" w:hAnsi="Garamond" w:cs="Times New Roman"/>
          <w:sz w:val="24"/>
          <w:szCs w:val="24"/>
        </w:rPr>
        <w:t xml:space="preserve">, </w:t>
      </w:r>
      <w:r w:rsidR="00251087">
        <w:rPr>
          <w:rFonts w:ascii="Garamond" w:hAnsi="Garamond" w:cs="Times New Roman"/>
          <w:sz w:val="24"/>
          <w:szCs w:val="24"/>
        </w:rPr>
        <w:t>(</w:t>
      </w:r>
      <w:r>
        <w:rPr>
          <w:rFonts w:ascii="Garamond" w:hAnsi="Garamond" w:cs="Times New Roman"/>
          <w:sz w:val="24"/>
          <w:szCs w:val="24"/>
        </w:rPr>
        <w:t>New York</w:t>
      </w:r>
      <w:r w:rsidR="00251087">
        <w:rPr>
          <w:rFonts w:ascii="Garamond" w:hAnsi="Garamond" w:cs="Times New Roman"/>
          <w:sz w:val="24"/>
          <w:szCs w:val="24"/>
        </w:rPr>
        <w:t>:</w:t>
      </w:r>
      <w:r>
        <w:rPr>
          <w:rFonts w:ascii="Garamond" w:hAnsi="Garamond" w:cs="Times New Roman"/>
          <w:sz w:val="24"/>
          <w:szCs w:val="24"/>
        </w:rPr>
        <w:t xml:space="preserve"> Routledge, 2019</w:t>
      </w:r>
      <w:r w:rsidR="00251087">
        <w:rPr>
          <w:rFonts w:ascii="Garamond" w:hAnsi="Garamond" w:cs="Times New Roman"/>
          <w:sz w:val="24"/>
          <w:szCs w:val="24"/>
        </w:rPr>
        <w:t>).</w:t>
      </w:r>
      <w:r>
        <w:rPr>
          <w:rFonts w:ascii="Garamond" w:hAnsi="Garamond" w:cs="Times New Roman"/>
          <w:sz w:val="24"/>
          <w:szCs w:val="24"/>
        </w:rPr>
        <w:t xml:space="preserve"> </w:t>
      </w:r>
      <w:r w:rsidR="00251087">
        <w:rPr>
          <w:rFonts w:ascii="Garamond" w:hAnsi="Garamond" w:cs="Times New Roman"/>
          <w:sz w:val="24"/>
          <w:szCs w:val="24"/>
        </w:rPr>
        <w:t>C</w:t>
      </w:r>
      <w:r>
        <w:rPr>
          <w:rFonts w:ascii="Garamond" w:hAnsi="Garamond" w:cs="Times New Roman"/>
          <w:sz w:val="24"/>
          <w:szCs w:val="24"/>
        </w:rPr>
        <w:t>hapters 1 and 2</w:t>
      </w:r>
      <w:r w:rsidR="00251087">
        <w:rPr>
          <w:rFonts w:ascii="Garamond" w:hAnsi="Garamond" w:cs="Times New Roman"/>
          <w:sz w:val="24"/>
          <w:szCs w:val="24"/>
        </w:rPr>
        <w:t>.</w:t>
      </w:r>
    </w:p>
    <w:p w14:paraId="052B1710" w14:textId="61206F7E" w:rsidR="00C6756C" w:rsidRDefault="00C6756C" w:rsidP="001F71B5">
      <w:pPr>
        <w:spacing w:line="240" w:lineRule="auto"/>
        <w:contextualSpacing/>
        <w:rPr>
          <w:rFonts w:ascii="Garamond" w:hAnsi="Garamond" w:cs="Times New Roman"/>
          <w:sz w:val="24"/>
          <w:szCs w:val="24"/>
        </w:rPr>
      </w:pPr>
    </w:p>
    <w:p w14:paraId="346214D5" w14:textId="39958ECF" w:rsidR="00C6756C" w:rsidRDefault="00C6756C" w:rsidP="001F71B5">
      <w:pPr>
        <w:spacing w:line="240" w:lineRule="auto"/>
        <w:contextualSpacing/>
        <w:rPr>
          <w:rFonts w:ascii="Garamond" w:hAnsi="Garamond" w:cs="Times New Roman"/>
          <w:sz w:val="24"/>
          <w:szCs w:val="24"/>
        </w:rPr>
      </w:pPr>
      <w:r w:rsidRPr="00122EAC">
        <w:rPr>
          <w:rFonts w:ascii="Garamond" w:hAnsi="Garamond" w:cs="Times New Roman"/>
          <w:sz w:val="24"/>
          <w:szCs w:val="24"/>
        </w:rPr>
        <w:t>Lee Ann</w:t>
      </w:r>
      <w:r w:rsidR="00CC6C37">
        <w:rPr>
          <w:rFonts w:ascii="Garamond" w:hAnsi="Garamond" w:cs="Times New Roman"/>
          <w:sz w:val="24"/>
          <w:szCs w:val="24"/>
        </w:rPr>
        <w:t xml:space="preserve"> </w:t>
      </w:r>
      <w:r w:rsidR="00CC6C37" w:rsidRPr="00122EAC">
        <w:rPr>
          <w:rFonts w:ascii="Garamond" w:hAnsi="Garamond" w:cs="Times New Roman"/>
          <w:sz w:val="24"/>
          <w:szCs w:val="24"/>
        </w:rPr>
        <w:t>Fujii</w:t>
      </w:r>
      <w:r w:rsidR="00CC6C37">
        <w:rPr>
          <w:rFonts w:ascii="Garamond" w:hAnsi="Garamond" w:cs="Times New Roman"/>
          <w:sz w:val="24"/>
          <w:szCs w:val="24"/>
        </w:rPr>
        <w:t>,</w:t>
      </w:r>
      <w:r w:rsidRPr="00122EAC">
        <w:rPr>
          <w:rFonts w:ascii="Garamond" w:hAnsi="Garamond" w:cs="Times New Roman"/>
          <w:sz w:val="24"/>
          <w:szCs w:val="24"/>
        </w:rPr>
        <w:t xml:space="preserve"> </w:t>
      </w:r>
      <w:r w:rsidRPr="00122EAC">
        <w:rPr>
          <w:rFonts w:ascii="Garamond" w:hAnsi="Garamond" w:cs="Times New Roman"/>
          <w:i/>
          <w:iCs/>
          <w:sz w:val="24"/>
          <w:szCs w:val="24"/>
        </w:rPr>
        <w:t>Interviewing in Social Science Research: A Relational Approach</w:t>
      </w:r>
      <w:r w:rsidR="00CC6C37">
        <w:rPr>
          <w:rFonts w:ascii="Garamond" w:hAnsi="Garamond" w:cs="Times New Roman"/>
          <w:sz w:val="24"/>
          <w:szCs w:val="24"/>
        </w:rPr>
        <w:t xml:space="preserve"> (New York: </w:t>
      </w:r>
      <w:r w:rsidRPr="00122EAC">
        <w:rPr>
          <w:rFonts w:ascii="Garamond" w:hAnsi="Garamond" w:cs="Times New Roman"/>
          <w:sz w:val="24"/>
          <w:szCs w:val="24"/>
        </w:rPr>
        <w:t>Routledge, 2017</w:t>
      </w:r>
      <w:r w:rsidR="00CC6C37">
        <w:rPr>
          <w:rFonts w:ascii="Garamond" w:hAnsi="Garamond" w:cs="Times New Roman"/>
          <w:sz w:val="24"/>
          <w:szCs w:val="24"/>
        </w:rPr>
        <w:t>)</w:t>
      </w:r>
      <w:r w:rsidRPr="00122EAC">
        <w:rPr>
          <w:rFonts w:ascii="Garamond" w:hAnsi="Garamond" w:cs="Times New Roman"/>
          <w:sz w:val="24"/>
          <w:szCs w:val="24"/>
        </w:rPr>
        <w:t>. Chapters 1, 2, and 5</w:t>
      </w:r>
      <w:r w:rsidR="00CC6C37">
        <w:rPr>
          <w:rFonts w:ascii="Garamond" w:hAnsi="Garamond" w:cs="Times New Roman"/>
          <w:sz w:val="24"/>
          <w:szCs w:val="24"/>
        </w:rPr>
        <w:t xml:space="preserve">. </w:t>
      </w:r>
    </w:p>
    <w:p w14:paraId="72AF7B8C" w14:textId="5123A078" w:rsidR="00327AED" w:rsidRDefault="00327AED" w:rsidP="001F71B5">
      <w:pPr>
        <w:spacing w:line="240" w:lineRule="auto"/>
        <w:contextualSpacing/>
        <w:rPr>
          <w:rFonts w:ascii="Garamond" w:hAnsi="Garamond" w:cs="Times New Roman"/>
          <w:sz w:val="24"/>
          <w:szCs w:val="24"/>
        </w:rPr>
      </w:pPr>
    </w:p>
    <w:p w14:paraId="6E20D14D" w14:textId="25F408A6" w:rsidR="00327AED" w:rsidRPr="00581C95" w:rsidRDefault="00327AED" w:rsidP="00327AED">
      <w:pPr>
        <w:spacing w:line="240" w:lineRule="auto"/>
        <w:contextualSpacing/>
        <w:rPr>
          <w:rFonts w:ascii="Garamond" w:hAnsi="Garamond" w:cs="Times New Roman"/>
          <w:b/>
          <w:bCs/>
          <w:i/>
          <w:iCs/>
          <w:sz w:val="24"/>
          <w:szCs w:val="24"/>
        </w:rPr>
      </w:pPr>
      <w:r w:rsidRPr="00581C95">
        <w:rPr>
          <w:rFonts w:ascii="Garamond" w:hAnsi="Garamond" w:cs="Times New Roman"/>
          <w:b/>
          <w:bCs/>
          <w:i/>
          <w:iCs/>
          <w:sz w:val="24"/>
          <w:szCs w:val="24"/>
        </w:rPr>
        <w:t xml:space="preserve">Interviews Part 2: </w:t>
      </w:r>
      <w:r w:rsidR="00846B65" w:rsidRPr="00581C95">
        <w:rPr>
          <w:rFonts w:ascii="Garamond" w:hAnsi="Garamond" w:cs="Times New Roman"/>
          <w:b/>
          <w:bCs/>
          <w:i/>
          <w:iCs/>
          <w:sz w:val="24"/>
          <w:szCs w:val="24"/>
        </w:rPr>
        <w:t>Interviewing elites and relations with foreign scholars</w:t>
      </w:r>
    </w:p>
    <w:p w14:paraId="4B0DABB2" w14:textId="77777777" w:rsidR="00846B65" w:rsidRPr="00581C95" w:rsidRDefault="00846B65" w:rsidP="00846B65">
      <w:pPr>
        <w:spacing w:line="240" w:lineRule="auto"/>
        <w:contextualSpacing/>
        <w:rPr>
          <w:rFonts w:ascii="Garamond" w:hAnsi="Garamond" w:cs="Times New Roman"/>
          <w:b/>
          <w:bCs/>
          <w:iCs/>
          <w:sz w:val="24"/>
          <w:szCs w:val="24"/>
        </w:rPr>
      </w:pPr>
    </w:p>
    <w:p w14:paraId="6680B5E9" w14:textId="7ED082DC" w:rsidR="00846B65" w:rsidRPr="00581C95" w:rsidRDefault="00846B65" w:rsidP="00846B6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Matthew N. Beckmann and Richard L. Hall, “Elite Interviewing in Washington, DC,” in </w:t>
      </w:r>
      <w:r w:rsidRPr="00581C95">
        <w:rPr>
          <w:rFonts w:ascii="Garamond" w:hAnsi="Garamond" w:cs="Times New Roman"/>
          <w:b/>
          <w:bCs/>
          <w:i/>
          <w:iCs/>
          <w:sz w:val="24"/>
          <w:szCs w:val="24"/>
        </w:rPr>
        <w:t>Interview Research in Political Science</w:t>
      </w:r>
      <w:r w:rsidRPr="00581C95">
        <w:rPr>
          <w:rFonts w:ascii="Garamond" w:hAnsi="Garamond" w:cs="Times New Roman"/>
          <w:b/>
          <w:bCs/>
          <w:sz w:val="24"/>
          <w:szCs w:val="24"/>
        </w:rPr>
        <w:t>, ed. Layna Mosley (Ithaca</w:t>
      </w:r>
      <w:r w:rsidR="00C54918">
        <w:rPr>
          <w:rFonts w:ascii="Garamond" w:hAnsi="Garamond" w:cs="Times New Roman"/>
          <w:b/>
          <w:bCs/>
          <w:sz w:val="24"/>
          <w:szCs w:val="24"/>
        </w:rPr>
        <w:t>, NY</w:t>
      </w:r>
      <w:r w:rsidRPr="00581C95">
        <w:rPr>
          <w:rFonts w:ascii="Garamond" w:hAnsi="Garamond" w:cs="Times New Roman"/>
          <w:b/>
          <w:bCs/>
          <w:sz w:val="24"/>
          <w:szCs w:val="24"/>
        </w:rPr>
        <w:t>: Cornell University Press, 2013), 196–208.</w:t>
      </w:r>
    </w:p>
    <w:p w14:paraId="5DAFA1B6" w14:textId="77777777" w:rsidR="00327AED" w:rsidRPr="00581C95" w:rsidRDefault="00327AED" w:rsidP="00327AED">
      <w:pPr>
        <w:spacing w:line="240" w:lineRule="auto"/>
        <w:contextualSpacing/>
        <w:rPr>
          <w:rFonts w:ascii="Garamond" w:hAnsi="Garamond" w:cs="Times New Roman"/>
          <w:b/>
          <w:bCs/>
          <w:sz w:val="24"/>
          <w:szCs w:val="24"/>
        </w:rPr>
      </w:pPr>
    </w:p>
    <w:p w14:paraId="00E65511" w14:textId="5FAD036C" w:rsidR="0008044B" w:rsidRPr="00581C95" w:rsidRDefault="00327AED" w:rsidP="00327AED">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Jeffrey M. Berry, “Validity and Reliability Issues in Elite Interviewing,” </w:t>
      </w:r>
      <w:r w:rsidRPr="00581C95">
        <w:rPr>
          <w:rFonts w:ascii="Garamond" w:hAnsi="Garamond" w:cs="Times New Roman"/>
          <w:b/>
          <w:bCs/>
          <w:i/>
          <w:iCs/>
          <w:sz w:val="24"/>
          <w:szCs w:val="24"/>
        </w:rPr>
        <w:t>Political Science &amp; Politics</w:t>
      </w:r>
      <w:r w:rsidRPr="00581C95">
        <w:rPr>
          <w:rFonts w:ascii="Garamond" w:hAnsi="Garamond" w:cs="Times New Roman"/>
          <w:b/>
          <w:bCs/>
          <w:sz w:val="24"/>
          <w:szCs w:val="24"/>
        </w:rPr>
        <w:t xml:space="preserve"> 35, no. 4 (December 2002): 697–82.</w:t>
      </w:r>
    </w:p>
    <w:p w14:paraId="44779C4E" w14:textId="381EDF75" w:rsidR="00327AED" w:rsidRPr="00581C95" w:rsidRDefault="00327AED" w:rsidP="00327AED">
      <w:pPr>
        <w:spacing w:line="240" w:lineRule="auto"/>
        <w:contextualSpacing/>
        <w:rPr>
          <w:rFonts w:ascii="Garamond" w:hAnsi="Garamond" w:cs="Times New Roman"/>
          <w:b/>
          <w:bCs/>
          <w:sz w:val="24"/>
          <w:szCs w:val="24"/>
        </w:rPr>
      </w:pPr>
    </w:p>
    <w:p w14:paraId="01DD206D" w14:textId="0A28A57E" w:rsidR="000F3004" w:rsidRPr="00581C95" w:rsidRDefault="000F3004" w:rsidP="000F3004">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Frederick C. Teiwes, "Interviews on Party history," </w:t>
      </w:r>
      <w:r w:rsidRPr="00581C95">
        <w:rPr>
          <w:rFonts w:ascii="Garamond" w:hAnsi="Garamond" w:cs="Times New Roman"/>
          <w:b/>
          <w:bCs/>
          <w:i/>
          <w:iCs/>
          <w:sz w:val="24"/>
          <w:szCs w:val="24"/>
        </w:rPr>
        <w:t>CCP Research. Newsletter</w:t>
      </w:r>
      <w:r w:rsidRPr="00581C95">
        <w:rPr>
          <w:rFonts w:ascii="Garamond" w:hAnsi="Garamond" w:cs="Times New Roman"/>
          <w:b/>
          <w:bCs/>
          <w:sz w:val="24"/>
          <w:szCs w:val="24"/>
        </w:rPr>
        <w:t>, Nos. 10 and 11 (1992)</w:t>
      </w:r>
      <w:r w:rsidR="0018449D">
        <w:rPr>
          <w:rFonts w:ascii="Garamond" w:hAnsi="Garamond" w:cs="Times New Roman"/>
          <w:b/>
          <w:bCs/>
          <w:sz w:val="24"/>
          <w:szCs w:val="24"/>
        </w:rPr>
        <w:t>.</w:t>
      </w:r>
    </w:p>
    <w:p w14:paraId="25106AC7" w14:textId="77777777" w:rsidR="000F3004" w:rsidRPr="006E2645" w:rsidRDefault="000F3004" w:rsidP="00327AED">
      <w:pPr>
        <w:spacing w:line="240" w:lineRule="auto"/>
        <w:contextualSpacing/>
        <w:rPr>
          <w:rFonts w:ascii="Garamond" w:hAnsi="Garamond" w:cs="Times New Roman"/>
          <w:sz w:val="24"/>
          <w:szCs w:val="24"/>
        </w:rPr>
      </w:pPr>
    </w:p>
    <w:p w14:paraId="3BB442B0" w14:textId="77777777" w:rsidR="00327AED" w:rsidRDefault="00327AED" w:rsidP="00327AED">
      <w:pPr>
        <w:spacing w:line="240" w:lineRule="auto"/>
        <w:contextualSpacing/>
        <w:rPr>
          <w:rFonts w:ascii="Garamond" w:hAnsi="Garamond" w:cs="Times New Roman"/>
          <w:sz w:val="24"/>
          <w:szCs w:val="24"/>
        </w:rPr>
      </w:pPr>
      <w:r>
        <w:rPr>
          <w:rFonts w:ascii="Garamond" w:hAnsi="Garamond" w:cs="Times New Roman"/>
          <w:sz w:val="24"/>
          <w:szCs w:val="24"/>
        </w:rPr>
        <w:t>OPTIONAL:</w:t>
      </w:r>
    </w:p>
    <w:p w14:paraId="5ED00A1D" w14:textId="77777777" w:rsidR="00327AED" w:rsidRDefault="00327AED" w:rsidP="001F71B5">
      <w:pPr>
        <w:spacing w:line="240" w:lineRule="auto"/>
        <w:contextualSpacing/>
        <w:rPr>
          <w:rFonts w:ascii="Garamond" w:hAnsi="Garamond" w:cs="Times New Roman"/>
          <w:sz w:val="24"/>
          <w:szCs w:val="24"/>
        </w:rPr>
      </w:pPr>
    </w:p>
    <w:p w14:paraId="3BB807B4" w14:textId="1ADE337F" w:rsidR="00846B65" w:rsidRDefault="00846B65" w:rsidP="00846B65">
      <w:pPr>
        <w:spacing w:line="240" w:lineRule="auto"/>
        <w:contextualSpacing/>
        <w:rPr>
          <w:rFonts w:ascii="Garamond" w:hAnsi="Garamond" w:cs="Times New Roman"/>
          <w:bCs/>
          <w:iCs/>
          <w:sz w:val="24"/>
          <w:szCs w:val="24"/>
        </w:rPr>
      </w:pPr>
      <w:r w:rsidRPr="008C74BE">
        <w:rPr>
          <w:rFonts w:ascii="Garamond" w:hAnsi="Garamond" w:cs="Times New Roman"/>
          <w:bCs/>
          <w:iCs/>
          <w:sz w:val="24"/>
          <w:szCs w:val="24"/>
        </w:rPr>
        <w:fldChar w:fldCharType="begin"/>
      </w:r>
      <w:r w:rsidR="00A96125">
        <w:rPr>
          <w:rFonts w:ascii="Garamond" w:hAnsi="Garamond" w:cs="Times New Roman"/>
          <w:bCs/>
          <w:iCs/>
          <w:sz w:val="24"/>
          <w:szCs w:val="24"/>
        </w:rPr>
        <w:instrText xml:space="preserve"> ADDIN ZOTERO_ITEM CSL_CITATION {"citationID":"SGeNiyYc","properties":{"formattedCitation":"James M. Goldgeier, {\\i{}Not Whether But When: The US Decision to Enlarge NATO} (Washington: Brookings Institution Press, 1999).","plainCitation":"James M. Goldgeier, Not Whether But When: The US Decision to Enlarge NATO (Washington: Brookings Institution Press, 1999).","noteIndex":0},"citationItems":[{"id":2470,"uris":["http://zotero.org/users/4231237/items/WLR24R22"],"itemData":{"id":2470,"type":"book","event-place":"Washington","publisher":"Brookings Institution Press","publisher-place":"Washington","title":"Not Whether But When: The US Decision to Enlarge NATO","author":[{"family":"Goldgeier","given":"James M."}],"issued":{"date-parts":[["1999"]]}}}],"schema":"https://github.com/citation-style-language/schema/raw/master/csl-citation.json"} </w:instrText>
      </w:r>
      <w:r w:rsidRPr="008C74BE">
        <w:rPr>
          <w:rFonts w:ascii="Garamond" w:hAnsi="Garamond" w:cs="Times New Roman"/>
          <w:bCs/>
          <w:iCs/>
          <w:sz w:val="24"/>
          <w:szCs w:val="24"/>
        </w:rPr>
        <w:fldChar w:fldCharType="separate"/>
      </w:r>
      <w:r w:rsidRPr="008C74BE">
        <w:rPr>
          <w:rFonts w:ascii="Garamond" w:hAnsi="Garamond" w:cs="Times New Roman"/>
          <w:bCs/>
          <w:iCs/>
          <w:sz w:val="24"/>
          <w:szCs w:val="24"/>
        </w:rPr>
        <w:t xml:space="preserve">James M. Goldgeier, </w:t>
      </w:r>
      <w:r w:rsidRPr="008C74BE">
        <w:rPr>
          <w:rFonts w:ascii="Garamond" w:hAnsi="Garamond" w:cs="Times New Roman"/>
          <w:bCs/>
          <w:i/>
          <w:iCs/>
          <w:sz w:val="24"/>
          <w:szCs w:val="24"/>
        </w:rPr>
        <w:t>Not Whether But When: The US Decision to Enlarge NATO</w:t>
      </w:r>
      <w:r w:rsidRPr="008C74BE">
        <w:rPr>
          <w:rFonts w:ascii="Garamond" w:hAnsi="Garamond" w:cs="Times New Roman"/>
          <w:bCs/>
          <w:iCs/>
          <w:sz w:val="24"/>
          <w:szCs w:val="24"/>
        </w:rPr>
        <w:t xml:space="preserve"> (Washington</w:t>
      </w:r>
      <w:r w:rsidR="00E23A48">
        <w:rPr>
          <w:rFonts w:ascii="Garamond" w:hAnsi="Garamond" w:cs="Times New Roman"/>
          <w:bCs/>
          <w:iCs/>
          <w:sz w:val="24"/>
          <w:szCs w:val="24"/>
        </w:rPr>
        <w:t xml:space="preserve"> D. C.</w:t>
      </w:r>
      <w:r w:rsidRPr="008C74BE">
        <w:rPr>
          <w:rFonts w:ascii="Garamond" w:hAnsi="Garamond" w:cs="Times New Roman"/>
          <w:bCs/>
          <w:iCs/>
          <w:sz w:val="24"/>
          <w:szCs w:val="24"/>
        </w:rPr>
        <w:t>: Brookings Institution Press, 1999).</w:t>
      </w:r>
      <w:r w:rsidRPr="008C74BE">
        <w:rPr>
          <w:rFonts w:ascii="Garamond" w:hAnsi="Garamond" w:cs="Times New Roman"/>
          <w:bCs/>
          <w:iCs/>
          <w:sz w:val="24"/>
          <w:szCs w:val="24"/>
        </w:rPr>
        <w:fldChar w:fldCharType="end"/>
      </w:r>
    </w:p>
    <w:p w14:paraId="1495D2B7" w14:textId="77777777" w:rsidR="005A1DE0" w:rsidRDefault="005A1DE0" w:rsidP="00846B65">
      <w:pPr>
        <w:spacing w:line="240" w:lineRule="auto"/>
        <w:contextualSpacing/>
        <w:rPr>
          <w:rFonts w:ascii="Garamond" w:hAnsi="Garamond" w:cs="Times New Roman"/>
          <w:bCs/>
          <w:iCs/>
          <w:sz w:val="24"/>
          <w:szCs w:val="24"/>
        </w:rPr>
      </w:pPr>
    </w:p>
    <w:p w14:paraId="693757EB" w14:textId="77777777" w:rsidR="00B21ADC" w:rsidRDefault="00B21ADC" w:rsidP="001F71B5">
      <w:pPr>
        <w:spacing w:line="240" w:lineRule="auto"/>
        <w:contextualSpacing/>
        <w:rPr>
          <w:rFonts w:ascii="Garamond" w:hAnsi="Garamond" w:cs="Times New Roman"/>
          <w:b/>
          <w:i/>
          <w:sz w:val="24"/>
          <w:szCs w:val="24"/>
        </w:rPr>
      </w:pPr>
    </w:p>
    <w:p w14:paraId="046F25A4" w14:textId="5E06CBE1" w:rsidR="008B46D1" w:rsidRDefault="00016483" w:rsidP="001F71B5">
      <w:pPr>
        <w:spacing w:line="240" w:lineRule="auto"/>
        <w:contextualSpacing/>
        <w:rPr>
          <w:rFonts w:ascii="Garamond" w:hAnsi="Garamond" w:cs="Times New Roman"/>
          <w:b/>
          <w:i/>
          <w:sz w:val="24"/>
          <w:szCs w:val="24"/>
        </w:rPr>
      </w:pPr>
      <w:r w:rsidRPr="00900BFA">
        <w:rPr>
          <w:rFonts w:ascii="Garamond" w:hAnsi="Garamond" w:cs="Times New Roman"/>
          <w:b/>
          <w:bCs/>
          <w:i/>
          <w:iCs/>
          <w:sz w:val="24"/>
          <w:szCs w:val="24"/>
        </w:rPr>
        <w:t>March 6</w:t>
      </w:r>
      <w:r>
        <w:rPr>
          <w:rFonts w:ascii="Garamond" w:hAnsi="Garamond" w:cs="Times New Roman"/>
          <w:b/>
          <w:i/>
          <w:sz w:val="24"/>
          <w:szCs w:val="24"/>
        </w:rPr>
        <w:t>:</w:t>
      </w:r>
    </w:p>
    <w:p w14:paraId="45C8645C" w14:textId="77777777" w:rsidR="00016483" w:rsidRDefault="00016483" w:rsidP="001F71B5">
      <w:pPr>
        <w:spacing w:line="240" w:lineRule="auto"/>
        <w:contextualSpacing/>
        <w:rPr>
          <w:rFonts w:ascii="Garamond" w:hAnsi="Garamond" w:cs="Times New Roman"/>
          <w:sz w:val="24"/>
          <w:szCs w:val="24"/>
        </w:rPr>
      </w:pPr>
    </w:p>
    <w:p w14:paraId="25795A18" w14:textId="34B0E1ED" w:rsidR="008B46D1" w:rsidRPr="00581C95" w:rsidRDefault="00327DDC" w:rsidP="001F71B5">
      <w:pPr>
        <w:spacing w:line="240" w:lineRule="auto"/>
        <w:contextualSpacing/>
        <w:rPr>
          <w:rFonts w:ascii="Garamond" w:hAnsi="Garamond" w:cs="Times New Roman"/>
          <w:b/>
          <w:bCs/>
          <w:i/>
          <w:iCs/>
          <w:sz w:val="24"/>
          <w:szCs w:val="24"/>
        </w:rPr>
      </w:pPr>
      <w:r>
        <w:rPr>
          <w:rFonts w:ascii="Garamond" w:hAnsi="Garamond" w:cs="Times New Roman"/>
          <w:b/>
          <w:bCs/>
          <w:i/>
          <w:iCs/>
          <w:sz w:val="24"/>
          <w:szCs w:val="24"/>
        </w:rPr>
        <w:t>D</w:t>
      </w:r>
      <w:r w:rsidR="008B46D1" w:rsidRPr="00581C95">
        <w:rPr>
          <w:rFonts w:ascii="Garamond" w:hAnsi="Garamond" w:cs="Times New Roman"/>
          <w:b/>
          <w:bCs/>
          <w:i/>
          <w:iCs/>
          <w:sz w:val="24"/>
          <w:szCs w:val="24"/>
        </w:rPr>
        <w:t>iscourse analysis</w:t>
      </w:r>
    </w:p>
    <w:p w14:paraId="098DC176" w14:textId="6ACBF41F" w:rsidR="008B46D1" w:rsidRPr="00581C95" w:rsidRDefault="008B46D1" w:rsidP="001F71B5">
      <w:pPr>
        <w:spacing w:line="240" w:lineRule="auto"/>
        <w:contextualSpacing/>
        <w:rPr>
          <w:rFonts w:ascii="Garamond" w:hAnsi="Garamond" w:cs="Times New Roman"/>
          <w:b/>
          <w:bCs/>
          <w:sz w:val="24"/>
          <w:szCs w:val="24"/>
        </w:rPr>
      </w:pPr>
    </w:p>
    <w:p w14:paraId="2FD91054" w14:textId="5461960F" w:rsidR="002D01A1" w:rsidRPr="00581C95" w:rsidRDefault="002D01A1"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lastRenderedPageBreak/>
        <w:t xml:space="preserve">David Howarth, Aletta Norval, Yannis Stavrakakis, eds., </w:t>
      </w:r>
      <w:r w:rsidRPr="00581C95">
        <w:rPr>
          <w:rFonts w:ascii="Garamond" w:hAnsi="Garamond" w:cs="Times New Roman"/>
          <w:b/>
          <w:bCs/>
          <w:i/>
          <w:iCs/>
          <w:sz w:val="24"/>
          <w:szCs w:val="24"/>
        </w:rPr>
        <w:t>Discourse Theory and Political Analysis</w:t>
      </w:r>
      <w:r w:rsidRPr="00581C95">
        <w:rPr>
          <w:rFonts w:ascii="Garamond" w:hAnsi="Garamond" w:cs="Times New Roman"/>
          <w:b/>
          <w:bCs/>
          <w:sz w:val="24"/>
          <w:szCs w:val="24"/>
        </w:rPr>
        <w:t xml:space="preserve"> (Manchester</w:t>
      </w:r>
      <w:r w:rsidR="00147BC4">
        <w:rPr>
          <w:rFonts w:ascii="Garamond" w:hAnsi="Garamond" w:cs="Times New Roman"/>
          <w:b/>
          <w:bCs/>
          <w:sz w:val="24"/>
          <w:szCs w:val="24"/>
        </w:rPr>
        <w:t>: Manchester University Press,</w:t>
      </w:r>
      <w:r w:rsidRPr="00581C95">
        <w:rPr>
          <w:rFonts w:ascii="Garamond" w:hAnsi="Garamond" w:cs="Times New Roman"/>
          <w:b/>
          <w:bCs/>
          <w:sz w:val="24"/>
          <w:szCs w:val="24"/>
        </w:rPr>
        <w:t xml:space="preserve"> 2000)</w:t>
      </w:r>
      <w:r w:rsidR="004F09DF">
        <w:rPr>
          <w:rFonts w:ascii="Garamond" w:hAnsi="Garamond" w:cs="Times New Roman"/>
          <w:b/>
          <w:bCs/>
          <w:sz w:val="24"/>
          <w:szCs w:val="24"/>
        </w:rPr>
        <w:t>. I</w:t>
      </w:r>
      <w:r w:rsidRPr="00581C95">
        <w:rPr>
          <w:rFonts w:ascii="Garamond" w:hAnsi="Garamond" w:cs="Times New Roman"/>
          <w:b/>
          <w:bCs/>
          <w:sz w:val="24"/>
          <w:szCs w:val="24"/>
        </w:rPr>
        <w:t xml:space="preserve">ntroduction </w:t>
      </w:r>
    </w:p>
    <w:p w14:paraId="531D7467" w14:textId="77777777" w:rsidR="002D01A1" w:rsidRPr="00581C95" w:rsidRDefault="002D01A1" w:rsidP="001F71B5">
      <w:pPr>
        <w:spacing w:line="240" w:lineRule="auto"/>
        <w:contextualSpacing/>
        <w:rPr>
          <w:rFonts w:ascii="Garamond" w:hAnsi="Garamond" w:cs="Times New Roman"/>
          <w:b/>
          <w:bCs/>
          <w:sz w:val="24"/>
          <w:szCs w:val="24"/>
        </w:rPr>
      </w:pPr>
    </w:p>
    <w:p w14:paraId="7C898238" w14:textId="5CF2A036" w:rsidR="002D01A1" w:rsidRPr="00581C95" w:rsidRDefault="002D01A1"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Jennifer Milliken, “The Study of Discourse in International Relations: A Critique of Research and Methods,” </w:t>
      </w:r>
      <w:r w:rsidRPr="00581C95">
        <w:rPr>
          <w:rFonts w:ascii="Garamond" w:hAnsi="Garamond" w:cs="Times New Roman"/>
          <w:b/>
          <w:bCs/>
          <w:i/>
          <w:iCs/>
          <w:sz w:val="24"/>
          <w:szCs w:val="24"/>
        </w:rPr>
        <w:t>European Journal of International Relations</w:t>
      </w:r>
      <w:r w:rsidRPr="00581C95">
        <w:rPr>
          <w:rFonts w:ascii="Garamond" w:hAnsi="Garamond" w:cs="Times New Roman"/>
          <w:b/>
          <w:bCs/>
          <w:sz w:val="24"/>
          <w:szCs w:val="24"/>
        </w:rPr>
        <w:t xml:space="preserve"> 5</w:t>
      </w:r>
      <w:r w:rsidR="000F270D">
        <w:rPr>
          <w:rFonts w:ascii="Garamond" w:hAnsi="Garamond" w:cs="Times New Roman"/>
          <w:b/>
          <w:bCs/>
          <w:sz w:val="24"/>
          <w:szCs w:val="24"/>
        </w:rPr>
        <w:t xml:space="preserve">, no. </w:t>
      </w:r>
      <w:r w:rsidRPr="00581C95">
        <w:rPr>
          <w:rFonts w:ascii="Garamond" w:hAnsi="Garamond" w:cs="Times New Roman"/>
          <w:b/>
          <w:bCs/>
          <w:sz w:val="24"/>
          <w:szCs w:val="24"/>
        </w:rPr>
        <w:t>2</w:t>
      </w:r>
      <w:r w:rsidR="000F270D">
        <w:rPr>
          <w:rFonts w:ascii="Garamond" w:hAnsi="Garamond" w:cs="Times New Roman"/>
          <w:b/>
          <w:bCs/>
          <w:sz w:val="24"/>
          <w:szCs w:val="24"/>
        </w:rPr>
        <w:t xml:space="preserve"> (</w:t>
      </w:r>
      <w:r w:rsidRPr="00581C95">
        <w:rPr>
          <w:rFonts w:ascii="Garamond" w:hAnsi="Garamond" w:cs="Times New Roman"/>
          <w:b/>
          <w:bCs/>
          <w:sz w:val="24"/>
          <w:szCs w:val="24"/>
        </w:rPr>
        <w:t>1999</w:t>
      </w:r>
      <w:r w:rsidR="000F270D">
        <w:rPr>
          <w:rFonts w:ascii="Garamond" w:hAnsi="Garamond" w:cs="Times New Roman"/>
          <w:b/>
          <w:bCs/>
          <w:sz w:val="24"/>
          <w:szCs w:val="24"/>
        </w:rPr>
        <w:t>)</w:t>
      </w:r>
      <w:r w:rsidRPr="00581C95">
        <w:rPr>
          <w:rFonts w:ascii="Garamond" w:hAnsi="Garamond" w:cs="Times New Roman"/>
          <w:b/>
          <w:bCs/>
          <w:sz w:val="24"/>
          <w:szCs w:val="24"/>
        </w:rPr>
        <w:t>: 225</w:t>
      </w:r>
      <w:r w:rsidR="000F270D">
        <w:rPr>
          <w:rFonts w:ascii="Garamond" w:hAnsi="Garamond" w:cs="Times New Roman"/>
          <w:b/>
          <w:bCs/>
          <w:sz w:val="24"/>
          <w:szCs w:val="24"/>
        </w:rPr>
        <w:t>–</w:t>
      </w:r>
      <w:r w:rsidRPr="00581C95">
        <w:rPr>
          <w:rFonts w:ascii="Garamond" w:hAnsi="Garamond" w:cs="Times New Roman"/>
          <w:b/>
          <w:bCs/>
          <w:sz w:val="24"/>
          <w:szCs w:val="24"/>
        </w:rPr>
        <w:t>54</w:t>
      </w:r>
      <w:r w:rsidR="000F270D">
        <w:rPr>
          <w:rFonts w:ascii="Garamond" w:hAnsi="Garamond" w:cs="Times New Roman"/>
          <w:b/>
          <w:bCs/>
          <w:sz w:val="24"/>
          <w:szCs w:val="24"/>
        </w:rPr>
        <w:t>.</w:t>
      </w:r>
      <w:r w:rsidRPr="00581C95">
        <w:rPr>
          <w:rFonts w:ascii="Garamond" w:hAnsi="Garamond" w:cs="Times New Roman"/>
          <w:b/>
          <w:bCs/>
          <w:sz w:val="24"/>
          <w:szCs w:val="24"/>
        </w:rPr>
        <w:t xml:space="preserve"> </w:t>
      </w:r>
    </w:p>
    <w:p w14:paraId="67F2A693" w14:textId="77777777" w:rsidR="002D01A1" w:rsidRPr="00581C95" w:rsidRDefault="002D01A1" w:rsidP="001F71B5">
      <w:pPr>
        <w:spacing w:line="240" w:lineRule="auto"/>
        <w:contextualSpacing/>
        <w:rPr>
          <w:rFonts w:ascii="Garamond" w:hAnsi="Garamond" w:cs="Times New Roman"/>
          <w:b/>
          <w:bCs/>
          <w:sz w:val="24"/>
          <w:szCs w:val="24"/>
        </w:rPr>
      </w:pPr>
    </w:p>
    <w:p w14:paraId="2D6128A6" w14:textId="7C0E9DF5" w:rsidR="003426B9" w:rsidRPr="00581C95" w:rsidRDefault="002D01A1"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Vivien A. Schmidt</w:t>
      </w:r>
      <w:r w:rsidR="003C3534">
        <w:rPr>
          <w:rFonts w:ascii="Garamond" w:hAnsi="Garamond" w:cs="Times New Roman"/>
          <w:b/>
          <w:bCs/>
          <w:sz w:val="24"/>
          <w:szCs w:val="24"/>
        </w:rPr>
        <w:t>,</w:t>
      </w:r>
      <w:r w:rsidRPr="00581C95">
        <w:rPr>
          <w:rFonts w:ascii="Garamond" w:hAnsi="Garamond" w:cs="Times New Roman"/>
          <w:b/>
          <w:bCs/>
          <w:sz w:val="24"/>
          <w:szCs w:val="24"/>
        </w:rPr>
        <w:t xml:space="preserve"> “Discursive Institutionalism: The Explanatory Power of Ideas and Discourse</w:t>
      </w:r>
      <w:r w:rsidR="003C3534">
        <w:rPr>
          <w:rFonts w:ascii="Garamond" w:hAnsi="Garamond" w:cs="Times New Roman"/>
          <w:b/>
          <w:bCs/>
          <w:sz w:val="24"/>
          <w:szCs w:val="24"/>
        </w:rPr>
        <w:t>,</w:t>
      </w:r>
      <w:r w:rsidRPr="00581C95">
        <w:rPr>
          <w:rFonts w:ascii="Garamond" w:hAnsi="Garamond" w:cs="Times New Roman"/>
          <w:b/>
          <w:bCs/>
          <w:sz w:val="24"/>
          <w:szCs w:val="24"/>
        </w:rPr>
        <w:t xml:space="preserve">” </w:t>
      </w:r>
      <w:r w:rsidRPr="00581C95">
        <w:rPr>
          <w:rFonts w:ascii="Garamond" w:hAnsi="Garamond" w:cs="Times New Roman"/>
          <w:b/>
          <w:bCs/>
          <w:i/>
          <w:iCs/>
          <w:sz w:val="24"/>
          <w:szCs w:val="24"/>
        </w:rPr>
        <w:t>Annual Review of Political Science</w:t>
      </w:r>
      <w:r w:rsidRPr="00581C95">
        <w:rPr>
          <w:rFonts w:ascii="Garamond" w:hAnsi="Garamond" w:cs="Times New Roman"/>
          <w:b/>
          <w:bCs/>
          <w:sz w:val="24"/>
          <w:szCs w:val="24"/>
        </w:rPr>
        <w:t xml:space="preserve"> 11</w:t>
      </w:r>
      <w:r w:rsidR="003C3534">
        <w:rPr>
          <w:rFonts w:ascii="Garamond" w:hAnsi="Garamond" w:cs="Times New Roman"/>
          <w:b/>
          <w:bCs/>
          <w:sz w:val="24"/>
          <w:szCs w:val="24"/>
        </w:rPr>
        <w:t xml:space="preserve"> (</w:t>
      </w:r>
      <w:r w:rsidRPr="00581C95">
        <w:rPr>
          <w:rFonts w:ascii="Garamond" w:hAnsi="Garamond" w:cs="Times New Roman"/>
          <w:b/>
          <w:bCs/>
          <w:sz w:val="24"/>
          <w:szCs w:val="24"/>
        </w:rPr>
        <w:t>2008</w:t>
      </w:r>
      <w:r w:rsidR="003C3534">
        <w:rPr>
          <w:rFonts w:ascii="Garamond" w:hAnsi="Garamond" w:cs="Times New Roman"/>
          <w:b/>
          <w:bCs/>
          <w:sz w:val="24"/>
          <w:szCs w:val="24"/>
        </w:rPr>
        <w:t>)</w:t>
      </w:r>
      <w:r w:rsidRPr="00581C95">
        <w:rPr>
          <w:rFonts w:ascii="Garamond" w:hAnsi="Garamond" w:cs="Times New Roman"/>
          <w:b/>
          <w:bCs/>
          <w:sz w:val="24"/>
          <w:szCs w:val="24"/>
        </w:rPr>
        <w:t>: 303</w:t>
      </w:r>
      <w:r w:rsidR="003C3534">
        <w:rPr>
          <w:rFonts w:ascii="Garamond" w:hAnsi="Garamond" w:cs="Times New Roman"/>
          <w:b/>
          <w:bCs/>
          <w:sz w:val="24"/>
          <w:szCs w:val="24"/>
        </w:rPr>
        <w:t>–</w:t>
      </w:r>
      <w:r w:rsidRPr="00581C95">
        <w:rPr>
          <w:rFonts w:ascii="Garamond" w:hAnsi="Garamond" w:cs="Times New Roman"/>
          <w:b/>
          <w:bCs/>
          <w:sz w:val="24"/>
          <w:szCs w:val="24"/>
        </w:rPr>
        <w:t>26</w:t>
      </w:r>
      <w:r w:rsidR="003C3534">
        <w:rPr>
          <w:rFonts w:ascii="Garamond" w:hAnsi="Garamond" w:cs="Times New Roman"/>
          <w:b/>
          <w:bCs/>
          <w:sz w:val="24"/>
          <w:szCs w:val="24"/>
        </w:rPr>
        <w:t>.</w:t>
      </w:r>
    </w:p>
    <w:p w14:paraId="674826AB" w14:textId="56005DFD" w:rsidR="00F4007A" w:rsidRPr="00581C95" w:rsidRDefault="00F4007A" w:rsidP="001F71B5">
      <w:pPr>
        <w:spacing w:line="240" w:lineRule="auto"/>
        <w:contextualSpacing/>
        <w:rPr>
          <w:rFonts w:ascii="Garamond" w:hAnsi="Garamond" w:cs="Times New Roman"/>
          <w:b/>
          <w:bCs/>
          <w:sz w:val="24"/>
          <w:szCs w:val="24"/>
        </w:rPr>
      </w:pPr>
    </w:p>
    <w:p w14:paraId="25D3B9A9" w14:textId="1F882BCF" w:rsidR="00F4007A" w:rsidRPr="00581C95" w:rsidRDefault="00F4007A"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Iver B. Neumann</w:t>
      </w:r>
      <w:r w:rsidR="00A944B0" w:rsidRPr="00581C95">
        <w:rPr>
          <w:rFonts w:ascii="Garamond" w:hAnsi="Garamond" w:cs="Times New Roman"/>
          <w:b/>
          <w:bCs/>
          <w:sz w:val="24"/>
          <w:szCs w:val="24"/>
        </w:rPr>
        <w:t>,</w:t>
      </w:r>
      <w:r w:rsidRPr="00581C95">
        <w:rPr>
          <w:rFonts w:ascii="Garamond" w:hAnsi="Garamond" w:cs="Times New Roman"/>
          <w:b/>
          <w:bCs/>
          <w:sz w:val="24"/>
          <w:szCs w:val="24"/>
        </w:rPr>
        <w:t xml:space="preserve"> “Discourse Analysis” in </w:t>
      </w:r>
      <w:r w:rsidRPr="00581C95">
        <w:rPr>
          <w:rFonts w:ascii="Garamond" w:hAnsi="Garamond" w:cs="Times New Roman"/>
          <w:b/>
          <w:bCs/>
          <w:i/>
          <w:iCs/>
          <w:sz w:val="24"/>
          <w:szCs w:val="24"/>
        </w:rPr>
        <w:t>Qualitative Methods in International Relations</w:t>
      </w:r>
      <w:r w:rsidRPr="00581C95">
        <w:rPr>
          <w:rFonts w:ascii="Garamond" w:hAnsi="Garamond" w:cs="Times New Roman"/>
          <w:b/>
          <w:bCs/>
          <w:sz w:val="24"/>
          <w:szCs w:val="24"/>
        </w:rPr>
        <w:t xml:space="preserve">, edited by A. Klotz and D. Prakash </w:t>
      </w:r>
      <w:r w:rsidR="00485A12">
        <w:rPr>
          <w:rFonts w:ascii="Garamond" w:hAnsi="Garamond" w:cs="Times New Roman"/>
          <w:b/>
          <w:bCs/>
          <w:sz w:val="24"/>
          <w:szCs w:val="24"/>
        </w:rPr>
        <w:t>(</w:t>
      </w:r>
      <w:r w:rsidRPr="00581C95">
        <w:rPr>
          <w:rFonts w:ascii="Garamond" w:hAnsi="Garamond" w:cs="Times New Roman"/>
          <w:b/>
          <w:bCs/>
          <w:sz w:val="24"/>
          <w:szCs w:val="24"/>
        </w:rPr>
        <w:t>New York: Palgrave Macmillan, 2009</w:t>
      </w:r>
      <w:r w:rsidR="00485A12">
        <w:rPr>
          <w:rFonts w:ascii="Garamond" w:hAnsi="Garamond" w:cs="Times New Roman"/>
          <w:b/>
          <w:bCs/>
          <w:sz w:val="24"/>
          <w:szCs w:val="24"/>
        </w:rPr>
        <w:t xml:space="preserve">). </w:t>
      </w:r>
    </w:p>
    <w:p w14:paraId="4E5C38FB" w14:textId="74E56061" w:rsidR="0070482C" w:rsidRPr="00581C95" w:rsidRDefault="0070482C" w:rsidP="001F71B5">
      <w:pPr>
        <w:spacing w:line="240" w:lineRule="auto"/>
        <w:contextualSpacing/>
        <w:rPr>
          <w:rFonts w:ascii="Garamond" w:hAnsi="Garamond" w:cs="Times New Roman"/>
          <w:b/>
          <w:bCs/>
          <w:sz w:val="24"/>
          <w:szCs w:val="24"/>
        </w:rPr>
      </w:pPr>
    </w:p>
    <w:p w14:paraId="3999648F" w14:textId="586D1984" w:rsidR="00AE68E5" w:rsidRPr="00581C95" w:rsidRDefault="00E162FE" w:rsidP="00AE68E5">
      <w:pPr>
        <w:spacing w:line="240" w:lineRule="auto"/>
        <w:contextualSpacing/>
        <w:rPr>
          <w:rFonts w:ascii="Garamond" w:hAnsi="Garamond" w:cs="Times New Roman"/>
          <w:b/>
          <w:bCs/>
          <w:sz w:val="24"/>
          <w:szCs w:val="24"/>
        </w:rPr>
      </w:pPr>
      <w:r w:rsidRPr="00581C95">
        <w:rPr>
          <w:rFonts w:ascii="Garamond" w:hAnsi="Garamond" w:cs="Times New Roman"/>
          <w:b/>
          <w:bCs/>
          <w:i/>
          <w:sz w:val="24"/>
          <w:szCs w:val="24"/>
        </w:rPr>
        <w:t xml:space="preserve">How do I prepare to go into the field, and what do I do when I get there? </w:t>
      </w:r>
    </w:p>
    <w:p w14:paraId="4CB394AB" w14:textId="77777777" w:rsidR="00AE68E5" w:rsidRPr="00581C95" w:rsidRDefault="00AE68E5" w:rsidP="00AE68E5">
      <w:pPr>
        <w:spacing w:line="240" w:lineRule="auto"/>
        <w:contextualSpacing/>
        <w:rPr>
          <w:rFonts w:ascii="Garamond" w:hAnsi="Garamond" w:cs="Times New Roman"/>
          <w:b/>
          <w:bCs/>
          <w:i/>
          <w:sz w:val="24"/>
          <w:szCs w:val="24"/>
        </w:rPr>
      </w:pPr>
    </w:p>
    <w:p w14:paraId="205B5258" w14:textId="4A6755C0" w:rsidR="00AE68E5" w:rsidRPr="00581C95" w:rsidRDefault="00AE68E5" w:rsidP="00AE68E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Diana Kapiszewski, Lauren M. MacLean, and Benjamin L. Read, </w:t>
      </w:r>
      <w:r w:rsidRPr="00581C95">
        <w:rPr>
          <w:rFonts w:ascii="Garamond" w:hAnsi="Garamond" w:cs="Times New Roman"/>
          <w:b/>
          <w:bCs/>
          <w:i/>
          <w:iCs/>
          <w:sz w:val="24"/>
          <w:szCs w:val="24"/>
        </w:rPr>
        <w:t>Field Research in Political Science: Practices and Principles</w:t>
      </w:r>
      <w:r w:rsidRPr="00581C95">
        <w:rPr>
          <w:rFonts w:ascii="Garamond" w:hAnsi="Garamond" w:cs="Times New Roman"/>
          <w:b/>
          <w:bCs/>
          <w:sz w:val="24"/>
          <w:szCs w:val="24"/>
        </w:rPr>
        <w:t xml:space="preserve"> (Cambridge: Cambridge University Press, 2015)</w:t>
      </w:r>
      <w:r w:rsidR="00752528">
        <w:rPr>
          <w:rFonts w:ascii="Garamond" w:hAnsi="Garamond" w:cs="Times New Roman"/>
          <w:b/>
          <w:bCs/>
          <w:sz w:val="24"/>
          <w:szCs w:val="24"/>
        </w:rPr>
        <w:t>.</w:t>
      </w:r>
      <w:r w:rsidRPr="00581C95">
        <w:rPr>
          <w:rFonts w:ascii="Garamond" w:hAnsi="Garamond" w:cs="Times New Roman"/>
          <w:b/>
          <w:bCs/>
          <w:sz w:val="24"/>
          <w:szCs w:val="24"/>
        </w:rPr>
        <w:t xml:space="preserve"> </w:t>
      </w:r>
      <w:r w:rsidR="00752528">
        <w:rPr>
          <w:rFonts w:ascii="Garamond" w:hAnsi="Garamond" w:cs="Times New Roman"/>
          <w:b/>
          <w:bCs/>
          <w:sz w:val="24"/>
          <w:szCs w:val="24"/>
        </w:rPr>
        <w:t>C</w:t>
      </w:r>
      <w:r w:rsidRPr="00581C95">
        <w:rPr>
          <w:rFonts w:ascii="Garamond" w:hAnsi="Garamond" w:cs="Times New Roman"/>
          <w:b/>
          <w:bCs/>
          <w:sz w:val="24"/>
          <w:szCs w:val="24"/>
        </w:rPr>
        <w:t>hapters 1</w:t>
      </w:r>
      <w:r w:rsidR="00752528">
        <w:rPr>
          <w:rFonts w:ascii="Garamond" w:hAnsi="Garamond" w:cs="Times New Roman"/>
          <w:b/>
          <w:bCs/>
          <w:sz w:val="24"/>
          <w:szCs w:val="24"/>
        </w:rPr>
        <w:t>–</w:t>
      </w:r>
      <w:r w:rsidRPr="00581C95">
        <w:rPr>
          <w:rFonts w:ascii="Garamond" w:hAnsi="Garamond" w:cs="Times New Roman"/>
          <w:b/>
          <w:bCs/>
          <w:sz w:val="24"/>
          <w:szCs w:val="24"/>
        </w:rPr>
        <w:t xml:space="preserve">3, </w:t>
      </w:r>
      <w:r w:rsidR="00752528">
        <w:rPr>
          <w:rFonts w:ascii="Garamond" w:hAnsi="Garamond" w:cs="Times New Roman"/>
          <w:b/>
          <w:bCs/>
          <w:sz w:val="24"/>
          <w:szCs w:val="24"/>
        </w:rPr>
        <w:t xml:space="preserve">and </w:t>
      </w:r>
      <w:r w:rsidRPr="00581C95">
        <w:rPr>
          <w:rFonts w:ascii="Garamond" w:hAnsi="Garamond" w:cs="Times New Roman"/>
          <w:b/>
          <w:bCs/>
          <w:sz w:val="24"/>
          <w:szCs w:val="24"/>
        </w:rPr>
        <w:t>7</w:t>
      </w:r>
      <w:r w:rsidR="00283CCE">
        <w:rPr>
          <w:rFonts w:ascii="Garamond" w:hAnsi="Garamond" w:cs="Times New Roman"/>
          <w:b/>
          <w:bCs/>
          <w:sz w:val="24"/>
          <w:szCs w:val="24"/>
        </w:rPr>
        <w:t>.</w:t>
      </w:r>
    </w:p>
    <w:p w14:paraId="6A72B4DC" w14:textId="77777777" w:rsidR="00AE68E5" w:rsidRPr="00581C95" w:rsidRDefault="00AE68E5" w:rsidP="00AE68E5">
      <w:pPr>
        <w:spacing w:line="240" w:lineRule="auto"/>
        <w:contextualSpacing/>
        <w:rPr>
          <w:rFonts w:ascii="Garamond" w:hAnsi="Garamond" w:cs="Times New Roman"/>
          <w:b/>
          <w:bCs/>
          <w:sz w:val="24"/>
          <w:szCs w:val="24"/>
        </w:rPr>
      </w:pPr>
    </w:p>
    <w:p w14:paraId="4D915348" w14:textId="46056383" w:rsidR="00AE68E5" w:rsidRPr="00581C95" w:rsidRDefault="00AE68E5" w:rsidP="00AE68E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“Symposium: Field Research: How Rich? How Thick? How Participatory?” </w:t>
      </w:r>
      <w:r w:rsidRPr="00581C95">
        <w:rPr>
          <w:rFonts w:ascii="Garamond" w:hAnsi="Garamond" w:cs="Times New Roman"/>
          <w:b/>
          <w:bCs/>
          <w:i/>
          <w:iCs/>
          <w:sz w:val="24"/>
          <w:szCs w:val="24"/>
        </w:rPr>
        <w:t>Qualitative Methods</w:t>
      </w:r>
      <w:r w:rsidRPr="00581C95">
        <w:rPr>
          <w:rFonts w:ascii="Garamond" w:hAnsi="Garamond" w:cs="Times New Roman"/>
          <w:b/>
          <w:bCs/>
          <w:sz w:val="24"/>
          <w:szCs w:val="24"/>
        </w:rPr>
        <w:t xml:space="preserve"> 4, no 2. (2006): 9</w:t>
      </w:r>
      <w:r w:rsidR="00283CCE">
        <w:rPr>
          <w:rFonts w:ascii="Garamond" w:hAnsi="Garamond" w:cs="Times New Roman"/>
          <w:b/>
          <w:bCs/>
          <w:sz w:val="24"/>
          <w:szCs w:val="24"/>
        </w:rPr>
        <w:t>–</w:t>
      </w:r>
      <w:r w:rsidRPr="00581C95">
        <w:rPr>
          <w:rFonts w:ascii="Garamond" w:hAnsi="Garamond" w:cs="Times New Roman"/>
          <w:b/>
          <w:bCs/>
          <w:sz w:val="24"/>
          <w:szCs w:val="24"/>
        </w:rPr>
        <w:t>18</w:t>
      </w:r>
      <w:r w:rsidR="00283CCE">
        <w:rPr>
          <w:rFonts w:ascii="Garamond" w:hAnsi="Garamond" w:cs="Times New Roman"/>
          <w:b/>
          <w:bCs/>
          <w:sz w:val="24"/>
          <w:szCs w:val="24"/>
        </w:rPr>
        <w:t>.</w:t>
      </w:r>
    </w:p>
    <w:p w14:paraId="33993A6F" w14:textId="5CB5A186" w:rsidR="001F71B5" w:rsidRPr="00581C95" w:rsidRDefault="001F71B5" w:rsidP="001F71B5">
      <w:pPr>
        <w:spacing w:line="240" w:lineRule="auto"/>
        <w:contextualSpacing/>
        <w:rPr>
          <w:rFonts w:ascii="Garamond" w:hAnsi="Garamond" w:cs="Times New Roman"/>
          <w:b/>
          <w:bCs/>
          <w:i/>
          <w:sz w:val="24"/>
          <w:szCs w:val="24"/>
        </w:rPr>
      </w:pPr>
    </w:p>
    <w:p w14:paraId="7D0DF6CC" w14:textId="77777777" w:rsidR="00846B65" w:rsidRDefault="00846B65" w:rsidP="00846B65">
      <w:pPr>
        <w:spacing w:line="240" w:lineRule="auto"/>
        <w:contextualSpacing/>
        <w:rPr>
          <w:rFonts w:ascii="Garamond" w:hAnsi="Garamond" w:cs="Times New Roman"/>
          <w:b/>
          <w:bCs/>
          <w:iCs/>
          <w:sz w:val="24"/>
          <w:szCs w:val="24"/>
        </w:rPr>
      </w:pPr>
      <w:r w:rsidRPr="00581C95">
        <w:rPr>
          <w:rFonts w:ascii="Garamond" w:hAnsi="Garamond" w:cs="Times New Roman"/>
          <w:b/>
          <w:bCs/>
          <w:iCs/>
          <w:sz w:val="24"/>
          <w:szCs w:val="24"/>
        </w:rPr>
        <w:t xml:space="preserve">Daniel P. Aldrich, “The 800-Pound Gaijin in the Room: Strategies and Tactics for Conducting Fieldwork in Japan and Abroad,” </w:t>
      </w:r>
      <w:r w:rsidRPr="00581C95">
        <w:rPr>
          <w:rFonts w:ascii="Garamond" w:hAnsi="Garamond" w:cs="Times New Roman"/>
          <w:b/>
          <w:bCs/>
          <w:i/>
          <w:iCs/>
          <w:sz w:val="24"/>
          <w:szCs w:val="24"/>
        </w:rPr>
        <w:t>PS: Political Science &amp; Politics</w:t>
      </w:r>
      <w:r w:rsidRPr="00581C95">
        <w:rPr>
          <w:rFonts w:ascii="Garamond" w:hAnsi="Garamond" w:cs="Times New Roman"/>
          <w:b/>
          <w:bCs/>
          <w:iCs/>
          <w:sz w:val="24"/>
          <w:szCs w:val="24"/>
        </w:rPr>
        <w:t xml:space="preserve"> 42, no. 2 (April 2009): 299–303.</w:t>
      </w:r>
    </w:p>
    <w:p w14:paraId="797DFB1C" w14:textId="77777777" w:rsidR="00C85FE6" w:rsidRDefault="00C85FE6" w:rsidP="00846B65">
      <w:pPr>
        <w:spacing w:line="240" w:lineRule="auto"/>
        <w:contextualSpacing/>
        <w:rPr>
          <w:rFonts w:ascii="Garamond" w:hAnsi="Garamond" w:cs="Times New Roman"/>
          <w:b/>
          <w:bCs/>
          <w:iCs/>
          <w:sz w:val="24"/>
          <w:szCs w:val="24"/>
        </w:rPr>
      </w:pPr>
    </w:p>
    <w:p w14:paraId="260B7390" w14:textId="2A0B0BB3" w:rsidR="00C85FE6" w:rsidRDefault="00C85FE6" w:rsidP="00846B65">
      <w:pPr>
        <w:spacing w:line="240" w:lineRule="auto"/>
        <w:contextualSpacing/>
        <w:rPr>
          <w:rFonts w:ascii="Garamond" w:hAnsi="Garamond" w:cs="Times New Roman"/>
          <w:iCs/>
          <w:sz w:val="24"/>
          <w:szCs w:val="24"/>
        </w:rPr>
      </w:pPr>
      <w:r>
        <w:rPr>
          <w:rFonts w:ascii="Garamond" w:hAnsi="Garamond" w:cs="Times New Roman"/>
          <w:iCs/>
          <w:sz w:val="24"/>
          <w:szCs w:val="24"/>
        </w:rPr>
        <w:t>OPTIONAL:</w:t>
      </w:r>
    </w:p>
    <w:p w14:paraId="37411F7B" w14:textId="77777777" w:rsidR="00C85FE6" w:rsidRDefault="00C85FE6" w:rsidP="00846B65">
      <w:pPr>
        <w:spacing w:line="240" w:lineRule="auto"/>
        <w:contextualSpacing/>
        <w:rPr>
          <w:rFonts w:ascii="Garamond" w:hAnsi="Garamond" w:cs="Times New Roman"/>
          <w:iCs/>
          <w:sz w:val="24"/>
          <w:szCs w:val="24"/>
        </w:rPr>
      </w:pPr>
    </w:p>
    <w:p w14:paraId="313DE4D6" w14:textId="6F0B92EE" w:rsidR="00C85FE6" w:rsidRDefault="00CA4A5D" w:rsidP="00846B65">
      <w:pPr>
        <w:spacing w:line="240" w:lineRule="auto"/>
        <w:contextualSpacing/>
        <w:rPr>
          <w:rFonts w:ascii="Garamond" w:hAnsi="Garamond" w:cs="Times New Roman"/>
          <w:iCs/>
          <w:sz w:val="24"/>
          <w:szCs w:val="24"/>
        </w:rPr>
      </w:pPr>
      <w:r>
        <w:rPr>
          <w:rFonts w:ascii="Garamond" w:hAnsi="Garamond" w:cs="Times New Roman"/>
          <w:iCs/>
          <w:sz w:val="24"/>
          <w:szCs w:val="24"/>
        </w:rPr>
        <w:t xml:space="preserve">Dean Karlan and Jacob Appel, </w:t>
      </w:r>
      <w:r w:rsidR="00C85FE6" w:rsidRPr="00CA4A5D">
        <w:rPr>
          <w:rFonts w:ascii="Garamond" w:hAnsi="Garamond" w:cs="Times New Roman"/>
          <w:i/>
          <w:sz w:val="24"/>
          <w:szCs w:val="24"/>
        </w:rPr>
        <w:t xml:space="preserve">Failing in the </w:t>
      </w:r>
      <w:r>
        <w:rPr>
          <w:rFonts w:ascii="Garamond" w:hAnsi="Garamond" w:cs="Times New Roman"/>
          <w:i/>
          <w:sz w:val="24"/>
          <w:szCs w:val="24"/>
        </w:rPr>
        <w:t>F</w:t>
      </w:r>
      <w:r w:rsidR="00C85FE6" w:rsidRPr="00CA4A5D">
        <w:rPr>
          <w:rFonts w:ascii="Garamond" w:hAnsi="Garamond" w:cs="Times New Roman"/>
          <w:i/>
          <w:sz w:val="24"/>
          <w:szCs w:val="24"/>
        </w:rPr>
        <w:t xml:space="preserve">ield: </w:t>
      </w:r>
      <w:r>
        <w:rPr>
          <w:rFonts w:ascii="Garamond" w:hAnsi="Garamond" w:cs="Times New Roman"/>
          <w:i/>
          <w:sz w:val="24"/>
          <w:szCs w:val="24"/>
        </w:rPr>
        <w:t>W</w:t>
      </w:r>
      <w:r w:rsidR="00C85FE6" w:rsidRPr="00CA4A5D">
        <w:rPr>
          <w:rFonts w:ascii="Garamond" w:hAnsi="Garamond" w:cs="Times New Roman"/>
          <w:i/>
          <w:sz w:val="24"/>
          <w:szCs w:val="24"/>
        </w:rPr>
        <w:t xml:space="preserve">hat </w:t>
      </w:r>
      <w:r>
        <w:rPr>
          <w:rFonts w:ascii="Garamond" w:hAnsi="Garamond" w:cs="Times New Roman"/>
          <w:i/>
          <w:sz w:val="24"/>
          <w:szCs w:val="24"/>
        </w:rPr>
        <w:t>W</w:t>
      </w:r>
      <w:r w:rsidR="00C85FE6" w:rsidRPr="00CA4A5D">
        <w:rPr>
          <w:rFonts w:ascii="Garamond" w:hAnsi="Garamond" w:cs="Times New Roman"/>
          <w:i/>
          <w:sz w:val="24"/>
          <w:szCs w:val="24"/>
        </w:rPr>
        <w:t xml:space="preserve">e </w:t>
      </w:r>
      <w:r>
        <w:rPr>
          <w:rFonts w:ascii="Garamond" w:hAnsi="Garamond" w:cs="Times New Roman"/>
          <w:i/>
          <w:sz w:val="24"/>
          <w:szCs w:val="24"/>
        </w:rPr>
        <w:t>C</w:t>
      </w:r>
      <w:r w:rsidR="00C85FE6" w:rsidRPr="00CA4A5D">
        <w:rPr>
          <w:rFonts w:ascii="Garamond" w:hAnsi="Garamond" w:cs="Times New Roman"/>
          <w:i/>
          <w:sz w:val="24"/>
          <w:szCs w:val="24"/>
        </w:rPr>
        <w:t xml:space="preserve">an </w:t>
      </w:r>
      <w:r>
        <w:rPr>
          <w:rFonts w:ascii="Garamond" w:hAnsi="Garamond" w:cs="Times New Roman"/>
          <w:i/>
          <w:sz w:val="24"/>
          <w:szCs w:val="24"/>
        </w:rPr>
        <w:t>L</w:t>
      </w:r>
      <w:r w:rsidR="00C85FE6" w:rsidRPr="00CA4A5D">
        <w:rPr>
          <w:rFonts w:ascii="Garamond" w:hAnsi="Garamond" w:cs="Times New Roman"/>
          <w:i/>
          <w:sz w:val="24"/>
          <w:szCs w:val="24"/>
        </w:rPr>
        <w:t xml:space="preserve">earn </w:t>
      </w:r>
      <w:r>
        <w:rPr>
          <w:rFonts w:ascii="Garamond" w:hAnsi="Garamond" w:cs="Times New Roman"/>
          <w:i/>
          <w:sz w:val="24"/>
          <w:szCs w:val="24"/>
        </w:rPr>
        <w:t>W</w:t>
      </w:r>
      <w:r w:rsidR="00C85FE6" w:rsidRPr="00CA4A5D">
        <w:rPr>
          <w:rFonts w:ascii="Garamond" w:hAnsi="Garamond" w:cs="Times New Roman"/>
          <w:i/>
          <w:sz w:val="24"/>
          <w:szCs w:val="24"/>
        </w:rPr>
        <w:t xml:space="preserve">hen </w:t>
      </w:r>
      <w:r>
        <w:rPr>
          <w:rFonts w:ascii="Garamond" w:hAnsi="Garamond" w:cs="Times New Roman"/>
          <w:i/>
          <w:sz w:val="24"/>
          <w:szCs w:val="24"/>
        </w:rPr>
        <w:t>F</w:t>
      </w:r>
      <w:r w:rsidR="00C85FE6" w:rsidRPr="00CA4A5D">
        <w:rPr>
          <w:rFonts w:ascii="Garamond" w:hAnsi="Garamond" w:cs="Times New Roman"/>
          <w:i/>
          <w:sz w:val="24"/>
          <w:szCs w:val="24"/>
        </w:rPr>
        <w:t xml:space="preserve">ield </w:t>
      </w:r>
      <w:r>
        <w:rPr>
          <w:rFonts w:ascii="Garamond" w:hAnsi="Garamond" w:cs="Times New Roman"/>
          <w:i/>
          <w:sz w:val="24"/>
          <w:szCs w:val="24"/>
        </w:rPr>
        <w:t>R</w:t>
      </w:r>
      <w:r w:rsidR="00C85FE6" w:rsidRPr="00CA4A5D">
        <w:rPr>
          <w:rFonts w:ascii="Garamond" w:hAnsi="Garamond" w:cs="Times New Roman"/>
          <w:i/>
          <w:sz w:val="24"/>
          <w:szCs w:val="24"/>
        </w:rPr>
        <w:t xml:space="preserve">esearch </w:t>
      </w:r>
      <w:r>
        <w:rPr>
          <w:rFonts w:ascii="Garamond" w:hAnsi="Garamond" w:cs="Times New Roman"/>
          <w:i/>
          <w:sz w:val="24"/>
          <w:szCs w:val="24"/>
        </w:rPr>
        <w:t>G</w:t>
      </w:r>
      <w:r w:rsidR="00C85FE6" w:rsidRPr="00CA4A5D">
        <w:rPr>
          <w:rFonts w:ascii="Garamond" w:hAnsi="Garamond" w:cs="Times New Roman"/>
          <w:i/>
          <w:sz w:val="24"/>
          <w:szCs w:val="24"/>
        </w:rPr>
        <w:t xml:space="preserve">oes </w:t>
      </w:r>
      <w:r>
        <w:rPr>
          <w:rFonts w:ascii="Garamond" w:hAnsi="Garamond" w:cs="Times New Roman"/>
          <w:i/>
          <w:sz w:val="24"/>
          <w:szCs w:val="24"/>
        </w:rPr>
        <w:t>W</w:t>
      </w:r>
      <w:r w:rsidR="00C85FE6" w:rsidRPr="00CA4A5D">
        <w:rPr>
          <w:rFonts w:ascii="Garamond" w:hAnsi="Garamond" w:cs="Times New Roman"/>
          <w:i/>
          <w:sz w:val="24"/>
          <w:szCs w:val="24"/>
        </w:rPr>
        <w:t>rong</w:t>
      </w:r>
      <w:r>
        <w:rPr>
          <w:rFonts w:ascii="Garamond" w:hAnsi="Garamond" w:cs="Times New Roman"/>
          <w:iCs/>
          <w:sz w:val="24"/>
          <w:szCs w:val="24"/>
        </w:rPr>
        <w:t xml:space="preserve">, </w:t>
      </w:r>
      <w:r w:rsidR="002767A1">
        <w:rPr>
          <w:rFonts w:ascii="Garamond" w:hAnsi="Garamond" w:cs="Times New Roman"/>
          <w:iCs/>
          <w:sz w:val="24"/>
          <w:szCs w:val="24"/>
        </w:rPr>
        <w:t xml:space="preserve">(Prinecton NJ: </w:t>
      </w:r>
      <w:r>
        <w:rPr>
          <w:rFonts w:ascii="Garamond" w:hAnsi="Garamond" w:cs="Times New Roman"/>
          <w:iCs/>
          <w:sz w:val="24"/>
          <w:szCs w:val="24"/>
        </w:rPr>
        <w:t>Princeton University Press, 2016</w:t>
      </w:r>
      <w:r w:rsidR="002767A1">
        <w:rPr>
          <w:rFonts w:ascii="Garamond" w:hAnsi="Garamond" w:cs="Times New Roman"/>
          <w:iCs/>
          <w:sz w:val="24"/>
          <w:szCs w:val="24"/>
        </w:rPr>
        <w:t>).</w:t>
      </w:r>
    </w:p>
    <w:p w14:paraId="567604EE" w14:textId="77777777" w:rsidR="00DA6DDA" w:rsidRDefault="00DA6DDA" w:rsidP="00846B65">
      <w:pPr>
        <w:spacing w:line="240" w:lineRule="auto"/>
        <w:contextualSpacing/>
        <w:rPr>
          <w:rFonts w:ascii="Garamond" w:hAnsi="Garamond" w:cs="Times New Roman"/>
          <w:iCs/>
          <w:sz w:val="24"/>
          <w:szCs w:val="24"/>
        </w:rPr>
      </w:pPr>
    </w:p>
    <w:p w14:paraId="30FB7BFB" w14:textId="57C78516" w:rsidR="00DA6DDA" w:rsidRDefault="000F144D" w:rsidP="00846B65">
      <w:pPr>
        <w:spacing w:line="240" w:lineRule="auto"/>
        <w:contextualSpacing/>
        <w:rPr>
          <w:rFonts w:ascii="Garamond" w:hAnsi="Garamond" w:cs="Times New Roman"/>
          <w:iCs/>
          <w:sz w:val="24"/>
          <w:szCs w:val="24"/>
        </w:rPr>
      </w:pPr>
      <w:r>
        <w:rPr>
          <w:rFonts w:ascii="Garamond" w:hAnsi="Garamond" w:cs="Times New Roman"/>
          <w:iCs/>
          <w:sz w:val="24"/>
          <w:szCs w:val="24"/>
        </w:rPr>
        <w:t xml:space="preserve">Jesse Driscoll, </w:t>
      </w:r>
      <w:r w:rsidRPr="000F144D">
        <w:rPr>
          <w:rFonts w:ascii="Garamond" w:hAnsi="Garamond" w:cs="Times New Roman"/>
          <w:i/>
          <w:sz w:val="24"/>
          <w:szCs w:val="24"/>
        </w:rPr>
        <w:t xml:space="preserve">Doing Global Fieldwork: A Social Scientist's Guide to Mixed-methods Research Far </w:t>
      </w:r>
      <w:r w:rsidR="00FF735D">
        <w:rPr>
          <w:rFonts w:ascii="Garamond" w:hAnsi="Garamond" w:cs="Times New Roman"/>
          <w:i/>
          <w:sz w:val="24"/>
          <w:szCs w:val="24"/>
        </w:rPr>
        <w:t>f</w:t>
      </w:r>
      <w:r w:rsidRPr="000F144D">
        <w:rPr>
          <w:rFonts w:ascii="Garamond" w:hAnsi="Garamond" w:cs="Times New Roman"/>
          <w:i/>
          <w:sz w:val="24"/>
          <w:szCs w:val="24"/>
        </w:rPr>
        <w:t>rom Home</w:t>
      </w:r>
      <w:r w:rsidR="00FF735D">
        <w:rPr>
          <w:rFonts w:ascii="Garamond" w:hAnsi="Garamond" w:cs="Times New Roman"/>
          <w:iCs/>
          <w:sz w:val="24"/>
          <w:szCs w:val="24"/>
        </w:rPr>
        <w:t xml:space="preserve"> (New York: </w:t>
      </w:r>
      <w:r w:rsidR="0091258E">
        <w:rPr>
          <w:rFonts w:ascii="Garamond" w:hAnsi="Garamond" w:cs="Times New Roman"/>
          <w:iCs/>
          <w:sz w:val="24"/>
          <w:szCs w:val="24"/>
        </w:rPr>
        <w:t>Columbia University Press, 2021</w:t>
      </w:r>
      <w:r w:rsidR="00FF735D">
        <w:rPr>
          <w:rFonts w:ascii="Garamond" w:hAnsi="Garamond" w:cs="Times New Roman"/>
          <w:iCs/>
          <w:sz w:val="24"/>
          <w:szCs w:val="24"/>
        </w:rPr>
        <w:t xml:space="preserve">). </w:t>
      </w:r>
    </w:p>
    <w:p w14:paraId="00A14525" w14:textId="77777777" w:rsidR="001B1C19" w:rsidRPr="000F144D" w:rsidRDefault="001B1C19" w:rsidP="00846B65">
      <w:pPr>
        <w:spacing w:line="240" w:lineRule="auto"/>
        <w:contextualSpacing/>
        <w:rPr>
          <w:rFonts w:ascii="Garamond" w:hAnsi="Garamond" w:cs="Times New Roman"/>
          <w:iCs/>
          <w:sz w:val="24"/>
          <w:szCs w:val="24"/>
        </w:rPr>
      </w:pPr>
    </w:p>
    <w:p w14:paraId="63D38D9A" w14:textId="77777777" w:rsidR="005A1DE0" w:rsidRDefault="005A1DE0" w:rsidP="001F71B5">
      <w:pPr>
        <w:spacing w:line="240" w:lineRule="auto"/>
        <w:contextualSpacing/>
        <w:rPr>
          <w:rFonts w:ascii="Garamond" w:hAnsi="Garamond" w:cs="Times New Roman"/>
          <w:b/>
          <w:i/>
          <w:sz w:val="24"/>
          <w:szCs w:val="24"/>
        </w:rPr>
      </w:pPr>
    </w:p>
    <w:p w14:paraId="3A2E57C8" w14:textId="289BAC92" w:rsidR="001F71B5" w:rsidRDefault="00087827" w:rsidP="001F71B5">
      <w:pPr>
        <w:spacing w:line="240" w:lineRule="auto"/>
        <w:contextualSpacing/>
        <w:rPr>
          <w:rFonts w:ascii="Garamond" w:hAnsi="Garamond" w:cs="Times New Roman"/>
          <w:b/>
          <w:i/>
          <w:sz w:val="24"/>
          <w:szCs w:val="24"/>
        </w:rPr>
      </w:pPr>
      <w:r>
        <w:rPr>
          <w:rFonts w:ascii="Garamond" w:hAnsi="Garamond" w:cs="Times New Roman"/>
          <w:b/>
          <w:i/>
          <w:sz w:val="24"/>
          <w:szCs w:val="24"/>
        </w:rPr>
        <w:t>March 13: Spring break</w:t>
      </w:r>
    </w:p>
    <w:p w14:paraId="2E9D872B" w14:textId="77777777" w:rsidR="001B1C19" w:rsidRDefault="001B1C19" w:rsidP="001F71B5">
      <w:pPr>
        <w:spacing w:line="240" w:lineRule="auto"/>
        <w:contextualSpacing/>
        <w:rPr>
          <w:rFonts w:ascii="Garamond" w:hAnsi="Garamond" w:cs="Times New Roman"/>
          <w:b/>
          <w:i/>
          <w:sz w:val="24"/>
          <w:szCs w:val="24"/>
        </w:rPr>
      </w:pPr>
    </w:p>
    <w:p w14:paraId="5F08B2CB" w14:textId="6BC00516" w:rsidR="008B46D1" w:rsidRDefault="008B46D1" w:rsidP="001F71B5">
      <w:pPr>
        <w:spacing w:line="240" w:lineRule="auto"/>
        <w:contextualSpacing/>
        <w:rPr>
          <w:rFonts w:ascii="Garamond" w:hAnsi="Garamond" w:cs="Times New Roman"/>
          <w:b/>
          <w:i/>
          <w:sz w:val="24"/>
          <w:szCs w:val="24"/>
        </w:rPr>
      </w:pPr>
    </w:p>
    <w:p w14:paraId="3D8801FF" w14:textId="06B5059F" w:rsidR="00087827" w:rsidRDefault="00087827" w:rsidP="001F71B5">
      <w:pPr>
        <w:spacing w:line="240" w:lineRule="auto"/>
        <w:contextualSpacing/>
        <w:rPr>
          <w:rFonts w:ascii="Garamond" w:hAnsi="Garamond" w:cs="Times New Roman"/>
          <w:b/>
          <w:i/>
          <w:sz w:val="24"/>
          <w:szCs w:val="24"/>
        </w:rPr>
      </w:pPr>
      <w:r>
        <w:rPr>
          <w:rFonts w:ascii="Garamond" w:hAnsi="Garamond" w:cs="Times New Roman"/>
          <w:b/>
          <w:i/>
          <w:sz w:val="24"/>
          <w:szCs w:val="24"/>
        </w:rPr>
        <w:t>March 20: (Grant proposals due)</w:t>
      </w:r>
    </w:p>
    <w:p w14:paraId="69A5619A" w14:textId="77777777" w:rsidR="00087827" w:rsidRDefault="00087827" w:rsidP="001F71B5">
      <w:pPr>
        <w:spacing w:line="240" w:lineRule="auto"/>
        <w:contextualSpacing/>
        <w:rPr>
          <w:rFonts w:ascii="Garamond" w:hAnsi="Garamond" w:cs="Times New Roman"/>
          <w:b/>
          <w:bCs/>
          <w:i/>
          <w:iCs/>
          <w:sz w:val="24"/>
          <w:szCs w:val="24"/>
        </w:rPr>
      </w:pPr>
    </w:p>
    <w:p w14:paraId="40901A0C" w14:textId="773814EF" w:rsidR="008B46D1" w:rsidRPr="00581C95" w:rsidRDefault="005A1DE0" w:rsidP="001F71B5">
      <w:pPr>
        <w:spacing w:line="240" w:lineRule="auto"/>
        <w:contextualSpacing/>
        <w:rPr>
          <w:rFonts w:ascii="Garamond" w:hAnsi="Garamond" w:cs="Times New Roman"/>
          <w:b/>
          <w:bCs/>
          <w:i/>
          <w:iCs/>
          <w:sz w:val="24"/>
          <w:szCs w:val="24"/>
        </w:rPr>
      </w:pPr>
      <w:r>
        <w:rPr>
          <w:rFonts w:ascii="Garamond" w:hAnsi="Garamond" w:cs="Times New Roman"/>
          <w:b/>
          <w:bCs/>
          <w:i/>
          <w:iCs/>
          <w:sz w:val="24"/>
          <w:szCs w:val="24"/>
        </w:rPr>
        <w:t>The historicist sensibility</w:t>
      </w:r>
    </w:p>
    <w:p w14:paraId="23044C79" w14:textId="77777777" w:rsidR="001F71B5" w:rsidRPr="00581C95" w:rsidRDefault="001F71B5" w:rsidP="001F71B5">
      <w:pPr>
        <w:spacing w:line="240" w:lineRule="auto"/>
        <w:contextualSpacing/>
        <w:rPr>
          <w:rFonts w:ascii="Garamond" w:hAnsi="Garamond" w:cs="Times New Roman"/>
          <w:b/>
          <w:bCs/>
          <w:i/>
          <w:sz w:val="24"/>
          <w:szCs w:val="24"/>
        </w:rPr>
      </w:pPr>
    </w:p>
    <w:p w14:paraId="179C744C" w14:textId="77777777" w:rsidR="00D26C9E" w:rsidRPr="00D26C9E" w:rsidRDefault="00D26C9E" w:rsidP="00D26C9E">
      <w:pPr>
        <w:spacing w:line="240" w:lineRule="auto"/>
        <w:contextualSpacing/>
        <w:rPr>
          <w:rFonts w:ascii="Garamond" w:hAnsi="Garamond" w:cs="Times New Roman"/>
          <w:b/>
          <w:sz w:val="24"/>
          <w:szCs w:val="24"/>
        </w:rPr>
      </w:pPr>
      <w:r w:rsidRPr="00D26C9E">
        <w:rPr>
          <w:rFonts w:ascii="Garamond" w:hAnsi="Garamond" w:cs="Times New Roman"/>
          <w:b/>
          <w:sz w:val="24"/>
          <w:szCs w:val="24"/>
        </w:rPr>
        <w:t xml:space="preserve">Kathleen Thelen, “The Explanatory Power of Historical Institutionalism,” in </w:t>
      </w:r>
      <w:r w:rsidRPr="00D26C9E">
        <w:rPr>
          <w:rFonts w:ascii="Garamond" w:hAnsi="Garamond" w:cs="Times New Roman"/>
          <w:b/>
          <w:i/>
          <w:iCs/>
          <w:sz w:val="24"/>
          <w:szCs w:val="24"/>
        </w:rPr>
        <w:t>Akteure, Mechanismen, Modelle: Zur Theoriefähigkeit Makro-Sozialer Analysen</w:t>
      </w:r>
      <w:r w:rsidRPr="00D26C9E">
        <w:rPr>
          <w:rFonts w:ascii="Garamond" w:hAnsi="Garamond" w:cs="Times New Roman"/>
          <w:b/>
          <w:sz w:val="24"/>
          <w:szCs w:val="24"/>
        </w:rPr>
        <w:t>, ed. Renate Mayntz (Frankfurt: Campus, 2002), 91–106.</w:t>
      </w:r>
    </w:p>
    <w:p w14:paraId="37BAE2D2" w14:textId="77777777" w:rsidR="00D26C9E" w:rsidRDefault="00D26C9E" w:rsidP="00BA4D8C">
      <w:pPr>
        <w:spacing w:line="240" w:lineRule="auto"/>
        <w:contextualSpacing/>
        <w:rPr>
          <w:rFonts w:ascii="Garamond" w:hAnsi="Garamond" w:cs="Times New Roman"/>
          <w:b/>
          <w:bCs/>
          <w:sz w:val="24"/>
          <w:szCs w:val="24"/>
        </w:rPr>
      </w:pPr>
    </w:p>
    <w:p w14:paraId="7D67E977" w14:textId="4F9346B3" w:rsidR="00391963" w:rsidRDefault="00391963" w:rsidP="00BA4D8C">
      <w:pPr>
        <w:spacing w:line="240" w:lineRule="auto"/>
        <w:contextualSpacing/>
        <w:rPr>
          <w:rFonts w:ascii="Garamond" w:hAnsi="Garamond" w:cs="Times New Roman"/>
          <w:b/>
          <w:bCs/>
          <w:sz w:val="24"/>
          <w:szCs w:val="24"/>
        </w:rPr>
      </w:pPr>
      <w:r>
        <w:rPr>
          <w:rFonts w:ascii="Garamond" w:hAnsi="Garamond" w:cs="Times New Roman"/>
          <w:b/>
          <w:bCs/>
          <w:sz w:val="24"/>
          <w:szCs w:val="24"/>
        </w:rPr>
        <w:t>Theda Skocpol</w:t>
      </w:r>
      <w:r w:rsidRPr="00391963">
        <w:rPr>
          <w:rFonts w:ascii="Garamond" w:hAnsi="Garamond" w:cs="Times New Roman"/>
          <w:b/>
          <w:bCs/>
          <w:sz w:val="24"/>
          <w:szCs w:val="24"/>
        </w:rPr>
        <w:t xml:space="preserve"> and Margaret Somers</w:t>
      </w:r>
      <w:r w:rsidR="0043647D">
        <w:rPr>
          <w:rFonts w:ascii="Garamond" w:hAnsi="Garamond" w:cs="Times New Roman"/>
          <w:b/>
          <w:bCs/>
          <w:sz w:val="24"/>
          <w:szCs w:val="24"/>
        </w:rPr>
        <w:t>,</w:t>
      </w:r>
      <w:r w:rsidRPr="00391963">
        <w:rPr>
          <w:rFonts w:ascii="Garamond" w:hAnsi="Garamond" w:cs="Times New Roman"/>
          <w:b/>
          <w:bCs/>
          <w:sz w:val="24"/>
          <w:szCs w:val="24"/>
        </w:rPr>
        <w:t xml:space="preserve"> “The Uses of Comparative History in Macrosocial Inquiry</w:t>
      </w:r>
      <w:r w:rsidR="0043647D">
        <w:rPr>
          <w:rFonts w:ascii="Garamond" w:hAnsi="Garamond" w:cs="Times New Roman"/>
          <w:b/>
          <w:bCs/>
          <w:sz w:val="24"/>
          <w:szCs w:val="24"/>
        </w:rPr>
        <w:t>,</w:t>
      </w:r>
      <w:r w:rsidRPr="00391963">
        <w:rPr>
          <w:rFonts w:ascii="Garamond" w:hAnsi="Garamond" w:cs="Times New Roman"/>
          <w:b/>
          <w:bCs/>
          <w:sz w:val="24"/>
          <w:szCs w:val="24"/>
        </w:rPr>
        <w:t xml:space="preserve">” </w:t>
      </w:r>
      <w:r w:rsidRPr="00391963">
        <w:rPr>
          <w:rFonts w:ascii="Garamond" w:hAnsi="Garamond" w:cs="Times New Roman"/>
          <w:b/>
          <w:bCs/>
          <w:i/>
          <w:iCs/>
          <w:sz w:val="24"/>
          <w:szCs w:val="24"/>
        </w:rPr>
        <w:t>Comparative Studies in Society and History</w:t>
      </w:r>
      <w:r w:rsidRPr="00391963">
        <w:rPr>
          <w:rFonts w:ascii="Garamond" w:hAnsi="Garamond" w:cs="Times New Roman"/>
          <w:b/>
          <w:bCs/>
          <w:sz w:val="24"/>
          <w:szCs w:val="24"/>
        </w:rPr>
        <w:t xml:space="preserve"> 22</w:t>
      </w:r>
      <w:r w:rsidR="0043647D">
        <w:rPr>
          <w:rFonts w:ascii="Garamond" w:hAnsi="Garamond" w:cs="Times New Roman"/>
          <w:b/>
          <w:bCs/>
          <w:sz w:val="24"/>
          <w:szCs w:val="24"/>
        </w:rPr>
        <w:t xml:space="preserve">, no. </w:t>
      </w:r>
      <w:r w:rsidRPr="00391963">
        <w:rPr>
          <w:rFonts w:ascii="Garamond" w:hAnsi="Garamond" w:cs="Times New Roman"/>
          <w:b/>
          <w:bCs/>
          <w:sz w:val="24"/>
          <w:szCs w:val="24"/>
        </w:rPr>
        <w:t>2</w:t>
      </w:r>
      <w:r w:rsidR="0043647D">
        <w:rPr>
          <w:rFonts w:ascii="Garamond" w:hAnsi="Garamond" w:cs="Times New Roman"/>
          <w:b/>
          <w:bCs/>
          <w:sz w:val="24"/>
          <w:szCs w:val="24"/>
        </w:rPr>
        <w:t xml:space="preserve"> (1980)</w:t>
      </w:r>
      <w:r w:rsidRPr="00391963">
        <w:rPr>
          <w:rFonts w:ascii="Garamond" w:hAnsi="Garamond" w:cs="Times New Roman"/>
          <w:b/>
          <w:bCs/>
          <w:sz w:val="24"/>
          <w:szCs w:val="24"/>
        </w:rPr>
        <w:t>: 174–97.</w:t>
      </w:r>
    </w:p>
    <w:p w14:paraId="0EAEF8E2" w14:textId="77777777" w:rsidR="00391963" w:rsidRDefault="00391963" w:rsidP="00BA4D8C">
      <w:pPr>
        <w:spacing w:line="240" w:lineRule="auto"/>
        <w:contextualSpacing/>
        <w:rPr>
          <w:rFonts w:ascii="Garamond" w:hAnsi="Garamond" w:cs="Times New Roman"/>
          <w:b/>
          <w:bCs/>
          <w:sz w:val="24"/>
          <w:szCs w:val="24"/>
        </w:rPr>
      </w:pPr>
    </w:p>
    <w:p w14:paraId="2A18F447" w14:textId="5F7717D3" w:rsidR="00BA4D8C" w:rsidRPr="00581C95" w:rsidRDefault="00BA4D8C" w:rsidP="00BA4D8C">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lastRenderedPageBreak/>
        <w:t xml:space="preserve">E. H. Carr, </w:t>
      </w:r>
      <w:r w:rsidRPr="00581C95">
        <w:rPr>
          <w:rFonts w:ascii="Garamond" w:hAnsi="Garamond" w:cs="Times New Roman"/>
          <w:b/>
          <w:bCs/>
          <w:i/>
          <w:iCs/>
          <w:sz w:val="24"/>
          <w:szCs w:val="24"/>
        </w:rPr>
        <w:t>What Is History?</w:t>
      </w:r>
      <w:r w:rsidRPr="00581C95">
        <w:rPr>
          <w:rFonts w:ascii="Garamond" w:hAnsi="Garamond" w:cs="Times New Roman"/>
          <w:b/>
          <w:bCs/>
          <w:sz w:val="24"/>
          <w:szCs w:val="24"/>
        </w:rPr>
        <w:t>, ed. R. W. Davies, 2nd ed. (London: Penguin Books, 1990)</w:t>
      </w:r>
      <w:r w:rsidR="003F45E3">
        <w:rPr>
          <w:rFonts w:ascii="Garamond" w:hAnsi="Garamond" w:cs="Times New Roman"/>
          <w:b/>
          <w:bCs/>
          <w:sz w:val="24"/>
          <w:szCs w:val="24"/>
        </w:rPr>
        <w:t>.</w:t>
      </w:r>
      <w:r w:rsidRPr="00581C95">
        <w:rPr>
          <w:rFonts w:ascii="Garamond" w:hAnsi="Garamond" w:cs="Times New Roman"/>
          <w:b/>
          <w:bCs/>
          <w:sz w:val="24"/>
          <w:szCs w:val="24"/>
        </w:rPr>
        <w:t xml:space="preserve"> Chapter 1 (“The Historian and His Facts”)</w:t>
      </w:r>
      <w:r w:rsidR="003F45E3">
        <w:rPr>
          <w:rFonts w:ascii="Garamond" w:hAnsi="Garamond" w:cs="Times New Roman"/>
          <w:b/>
          <w:bCs/>
          <w:sz w:val="24"/>
          <w:szCs w:val="24"/>
        </w:rPr>
        <w:t xml:space="preserve">. </w:t>
      </w:r>
    </w:p>
    <w:p w14:paraId="2FD7399E" w14:textId="076B79D2" w:rsidR="00A776E1" w:rsidRPr="00581C95" w:rsidRDefault="00A776E1" w:rsidP="00C20346">
      <w:pPr>
        <w:spacing w:line="240" w:lineRule="auto"/>
        <w:contextualSpacing/>
        <w:rPr>
          <w:rFonts w:ascii="Garamond" w:hAnsi="Garamond" w:cs="Times New Roman"/>
          <w:b/>
          <w:bCs/>
          <w:sz w:val="24"/>
          <w:szCs w:val="24"/>
        </w:rPr>
      </w:pPr>
    </w:p>
    <w:p w14:paraId="36F2065D" w14:textId="5ECCA632" w:rsidR="00D708D9" w:rsidRDefault="00D708D9" w:rsidP="00C20346">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Giovanni Capoccia and Daniel Ziblatt, “The Historical Turn in Democratization Studies: A New Research Agenda for Europe and Beyond,” </w:t>
      </w:r>
      <w:r w:rsidRPr="00581C95">
        <w:rPr>
          <w:rFonts w:ascii="Garamond" w:hAnsi="Garamond" w:cs="Times New Roman"/>
          <w:b/>
          <w:bCs/>
          <w:i/>
          <w:iCs/>
          <w:sz w:val="24"/>
          <w:szCs w:val="24"/>
        </w:rPr>
        <w:t>Comparative Political Studies</w:t>
      </w:r>
      <w:r w:rsidRPr="00581C95">
        <w:rPr>
          <w:rFonts w:ascii="Garamond" w:hAnsi="Garamond" w:cs="Times New Roman"/>
          <w:b/>
          <w:bCs/>
          <w:sz w:val="24"/>
          <w:szCs w:val="24"/>
        </w:rPr>
        <w:t xml:space="preserve"> 43, no. 8–9 (January 8, 2010): 931–68.</w:t>
      </w:r>
    </w:p>
    <w:p w14:paraId="50A22F5D" w14:textId="77777777" w:rsidR="00206FAD" w:rsidRDefault="00206FAD" w:rsidP="00C20346">
      <w:pPr>
        <w:spacing w:line="240" w:lineRule="auto"/>
        <w:contextualSpacing/>
        <w:rPr>
          <w:rFonts w:ascii="Garamond" w:hAnsi="Garamond" w:cs="Times New Roman"/>
          <w:b/>
          <w:bCs/>
          <w:sz w:val="24"/>
          <w:szCs w:val="24"/>
        </w:rPr>
      </w:pPr>
    </w:p>
    <w:p w14:paraId="0C71C446" w14:textId="50A5ECC4" w:rsidR="00206FAD" w:rsidRDefault="006456D5" w:rsidP="00C20346">
      <w:pPr>
        <w:spacing w:line="240" w:lineRule="auto"/>
        <w:contextualSpacing/>
        <w:rPr>
          <w:rFonts w:ascii="Garamond" w:hAnsi="Garamond" w:cs="Times New Roman"/>
          <w:b/>
          <w:bCs/>
          <w:sz w:val="24"/>
          <w:szCs w:val="24"/>
        </w:rPr>
      </w:pPr>
      <w:r>
        <w:rPr>
          <w:rFonts w:ascii="Garamond" w:hAnsi="Garamond" w:cs="Times New Roman"/>
          <w:b/>
          <w:bCs/>
          <w:sz w:val="24"/>
          <w:szCs w:val="24"/>
        </w:rPr>
        <w:t xml:space="preserve">Hayden White, </w:t>
      </w:r>
      <w:r w:rsidR="00206FAD" w:rsidRPr="00206FAD">
        <w:rPr>
          <w:rFonts w:ascii="Garamond" w:hAnsi="Garamond" w:cs="Times New Roman"/>
          <w:b/>
          <w:bCs/>
          <w:sz w:val="24"/>
          <w:szCs w:val="24"/>
        </w:rPr>
        <w:t xml:space="preserve">“Introduction: The Poetics of History,” in </w:t>
      </w:r>
      <w:r w:rsidR="00206FAD" w:rsidRPr="00206FAD">
        <w:rPr>
          <w:rFonts w:ascii="Garamond" w:hAnsi="Garamond" w:cs="Times New Roman"/>
          <w:b/>
          <w:bCs/>
          <w:i/>
          <w:iCs/>
          <w:sz w:val="24"/>
          <w:szCs w:val="24"/>
        </w:rPr>
        <w:t xml:space="preserve">Metahistory: The Historical Imagination in 19th-Century Europe </w:t>
      </w:r>
      <w:r w:rsidR="00206FAD" w:rsidRPr="00206FAD">
        <w:rPr>
          <w:rFonts w:ascii="Garamond" w:hAnsi="Garamond" w:cs="Times New Roman"/>
          <w:b/>
          <w:bCs/>
          <w:sz w:val="24"/>
          <w:szCs w:val="24"/>
        </w:rPr>
        <w:t>(Baltimore: Johns Hopkins University Press, 1973)</w:t>
      </w:r>
      <w:r w:rsidR="003F45E3">
        <w:rPr>
          <w:rFonts w:ascii="Garamond" w:hAnsi="Garamond" w:cs="Times New Roman"/>
          <w:b/>
          <w:bCs/>
          <w:sz w:val="24"/>
          <w:szCs w:val="24"/>
        </w:rPr>
        <w:t>,</w:t>
      </w:r>
      <w:r w:rsidR="00206FAD" w:rsidRPr="00206FAD">
        <w:rPr>
          <w:rFonts w:ascii="Garamond" w:hAnsi="Garamond" w:cs="Times New Roman"/>
          <w:b/>
          <w:bCs/>
          <w:sz w:val="24"/>
          <w:szCs w:val="24"/>
        </w:rPr>
        <w:t xml:space="preserve"> 1</w:t>
      </w:r>
      <w:r w:rsidR="003F45E3">
        <w:rPr>
          <w:rFonts w:ascii="Garamond" w:hAnsi="Garamond" w:cs="Times New Roman"/>
          <w:b/>
          <w:bCs/>
          <w:sz w:val="24"/>
          <w:szCs w:val="24"/>
        </w:rPr>
        <w:t>–</w:t>
      </w:r>
      <w:r w:rsidR="00206FAD" w:rsidRPr="00206FAD">
        <w:rPr>
          <w:rFonts w:ascii="Garamond" w:hAnsi="Garamond" w:cs="Times New Roman"/>
          <w:b/>
          <w:bCs/>
          <w:sz w:val="24"/>
          <w:szCs w:val="24"/>
        </w:rPr>
        <w:t>42</w:t>
      </w:r>
      <w:r w:rsidR="003F45E3">
        <w:rPr>
          <w:rFonts w:ascii="Garamond" w:hAnsi="Garamond" w:cs="Times New Roman"/>
          <w:b/>
          <w:bCs/>
          <w:sz w:val="24"/>
          <w:szCs w:val="24"/>
        </w:rPr>
        <w:t>.</w:t>
      </w:r>
    </w:p>
    <w:p w14:paraId="4E6B3F9A" w14:textId="77777777" w:rsidR="00611861" w:rsidRDefault="00611861" w:rsidP="00C20346">
      <w:pPr>
        <w:spacing w:line="240" w:lineRule="auto"/>
        <w:contextualSpacing/>
        <w:rPr>
          <w:rFonts w:ascii="Garamond" w:hAnsi="Garamond" w:cs="Times New Roman"/>
          <w:b/>
          <w:bCs/>
          <w:sz w:val="24"/>
          <w:szCs w:val="24"/>
        </w:rPr>
      </w:pPr>
    </w:p>
    <w:p w14:paraId="0DE6B7A4" w14:textId="105DC7B2" w:rsidR="00611861" w:rsidRPr="00FD29E0" w:rsidRDefault="00FD29E0" w:rsidP="00C20346">
      <w:pPr>
        <w:spacing w:line="240" w:lineRule="auto"/>
        <w:contextualSpacing/>
        <w:rPr>
          <w:rFonts w:ascii="Garamond" w:hAnsi="Garamond" w:cs="Times New Roman"/>
          <w:b/>
          <w:bCs/>
          <w:sz w:val="24"/>
          <w:szCs w:val="24"/>
        </w:rPr>
      </w:pPr>
      <w:r>
        <w:rPr>
          <w:rFonts w:ascii="Garamond" w:hAnsi="Garamond" w:cs="Times New Roman"/>
          <w:b/>
          <w:bCs/>
          <w:sz w:val="24"/>
          <w:szCs w:val="24"/>
        </w:rPr>
        <w:t xml:space="preserve">William Sewell Jr., </w:t>
      </w:r>
      <w:r>
        <w:rPr>
          <w:rFonts w:ascii="Garamond" w:hAnsi="Garamond" w:cs="Times New Roman"/>
          <w:b/>
          <w:bCs/>
          <w:i/>
          <w:iCs/>
          <w:sz w:val="24"/>
          <w:szCs w:val="24"/>
        </w:rPr>
        <w:t>Logics of History: Social Theory and Social Transformation</w:t>
      </w:r>
      <w:r>
        <w:rPr>
          <w:rFonts w:ascii="Garamond" w:hAnsi="Garamond" w:cs="Times New Roman"/>
          <w:b/>
          <w:bCs/>
          <w:sz w:val="24"/>
          <w:szCs w:val="24"/>
        </w:rPr>
        <w:t xml:space="preserve">, </w:t>
      </w:r>
      <w:r w:rsidR="00D8672B">
        <w:rPr>
          <w:rFonts w:ascii="Garamond" w:hAnsi="Garamond" w:cs="Times New Roman"/>
          <w:b/>
          <w:bCs/>
          <w:sz w:val="24"/>
          <w:szCs w:val="24"/>
        </w:rPr>
        <w:t>(Chicago: University of Chicago). Chapter 1 (“Theory, History, and Social Science”)</w:t>
      </w:r>
    </w:p>
    <w:p w14:paraId="3C182C8E" w14:textId="5233350D" w:rsidR="00C20346" w:rsidRDefault="00C20346" w:rsidP="00C20346">
      <w:pPr>
        <w:spacing w:line="240" w:lineRule="auto"/>
        <w:contextualSpacing/>
        <w:rPr>
          <w:rFonts w:ascii="Garamond" w:hAnsi="Garamond" w:cs="Times New Roman"/>
          <w:sz w:val="24"/>
          <w:szCs w:val="24"/>
        </w:rPr>
      </w:pPr>
    </w:p>
    <w:p w14:paraId="11871249" w14:textId="74C212F7" w:rsidR="00C20346" w:rsidRDefault="00C20346" w:rsidP="00C20346">
      <w:pPr>
        <w:spacing w:line="240" w:lineRule="auto"/>
        <w:contextualSpacing/>
        <w:rPr>
          <w:rFonts w:ascii="Garamond" w:hAnsi="Garamond" w:cs="Times New Roman"/>
          <w:sz w:val="24"/>
          <w:szCs w:val="24"/>
        </w:rPr>
      </w:pPr>
      <w:r>
        <w:rPr>
          <w:rFonts w:ascii="Garamond" w:hAnsi="Garamond" w:cs="Times New Roman"/>
          <w:sz w:val="24"/>
          <w:szCs w:val="24"/>
        </w:rPr>
        <w:t xml:space="preserve">OPTIONAL: </w:t>
      </w:r>
    </w:p>
    <w:p w14:paraId="60447792" w14:textId="77777777" w:rsidR="004320B8" w:rsidRDefault="004320B8" w:rsidP="00C20346">
      <w:pPr>
        <w:spacing w:line="240" w:lineRule="auto"/>
        <w:contextualSpacing/>
        <w:rPr>
          <w:rFonts w:ascii="Garamond" w:hAnsi="Garamond" w:cs="Times New Roman"/>
          <w:sz w:val="24"/>
          <w:szCs w:val="24"/>
        </w:rPr>
      </w:pPr>
    </w:p>
    <w:p w14:paraId="0A51FB69" w14:textId="5E997799" w:rsidR="004320B8" w:rsidRPr="004320B8" w:rsidRDefault="004320B8" w:rsidP="004320B8">
      <w:pPr>
        <w:spacing w:line="240" w:lineRule="auto"/>
        <w:contextualSpacing/>
        <w:rPr>
          <w:rFonts w:ascii="Garamond" w:hAnsi="Garamond" w:cs="Times New Roman"/>
          <w:sz w:val="24"/>
          <w:szCs w:val="24"/>
        </w:rPr>
      </w:pPr>
      <w:r>
        <w:rPr>
          <w:rFonts w:ascii="Garamond" w:hAnsi="Garamond" w:cs="Times New Roman"/>
          <w:sz w:val="24"/>
          <w:szCs w:val="24"/>
        </w:rPr>
        <w:t xml:space="preserve">William H. Sewell, </w:t>
      </w:r>
      <w:r w:rsidRPr="004320B8">
        <w:rPr>
          <w:rFonts w:ascii="Garamond" w:hAnsi="Garamond" w:cs="Times New Roman"/>
          <w:i/>
          <w:iCs/>
          <w:sz w:val="24"/>
          <w:szCs w:val="24"/>
        </w:rPr>
        <w:t>Logics of History: Social Theory and Social Transformation</w:t>
      </w:r>
      <w:r w:rsidR="000321CD">
        <w:rPr>
          <w:rFonts w:ascii="Garamond" w:hAnsi="Garamond" w:cs="Times New Roman"/>
          <w:sz w:val="24"/>
          <w:szCs w:val="24"/>
        </w:rPr>
        <w:t xml:space="preserve"> (Chicago: </w:t>
      </w:r>
      <w:r w:rsidR="008A6639">
        <w:rPr>
          <w:rFonts w:ascii="Garamond" w:hAnsi="Garamond" w:cs="Times New Roman"/>
          <w:sz w:val="24"/>
          <w:szCs w:val="24"/>
        </w:rPr>
        <w:t>University of Chicago Press, 2005</w:t>
      </w:r>
      <w:r w:rsidR="000321CD">
        <w:rPr>
          <w:rFonts w:ascii="Garamond" w:hAnsi="Garamond" w:cs="Times New Roman"/>
          <w:sz w:val="24"/>
          <w:szCs w:val="24"/>
        </w:rPr>
        <w:t xml:space="preserve">). </w:t>
      </w:r>
    </w:p>
    <w:p w14:paraId="06A29755" w14:textId="77777777" w:rsidR="00D26C9E" w:rsidRDefault="00D26C9E" w:rsidP="00C20346">
      <w:pPr>
        <w:spacing w:line="240" w:lineRule="auto"/>
        <w:contextualSpacing/>
        <w:rPr>
          <w:rFonts w:ascii="Garamond" w:hAnsi="Garamond" w:cs="Times New Roman"/>
          <w:sz w:val="24"/>
          <w:szCs w:val="24"/>
        </w:rPr>
      </w:pPr>
    </w:p>
    <w:p w14:paraId="5294DF83" w14:textId="712A6CE2" w:rsidR="00DE04EC" w:rsidRDefault="00DE04EC" w:rsidP="00C20346">
      <w:pPr>
        <w:spacing w:line="240" w:lineRule="auto"/>
        <w:contextualSpacing/>
        <w:rPr>
          <w:rFonts w:ascii="Garamond" w:hAnsi="Garamond" w:cs="Times New Roman"/>
          <w:sz w:val="24"/>
          <w:szCs w:val="24"/>
        </w:rPr>
      </w:pPr>
      <w:r w:rsidRPr="00DE04EC">
        <w:rPr>
          <w:rFonts w:ascii="Garamond" w:hAnsi="Garamond" w:cs="Times New Roman"/>
          <w:sz w:val="24"/>
          <w:szCs w:val="24"/>
        </w:rPr>
        <w:t xml:space="preserve">Clayton Roberts, </w:t>
      </w:r>
      <w:r w:rsidRPr="009F0989">
        <w:rPr>
          <w:rFonts w:ascii="Garamond" w:hAnsi="Garamond" w:cs="Times New Roman"/>
          <w:i/>
          <w:iCs/>
          <w:sz w:val="24"/>
          <w:szCs w:val="24"/>
        </w:rPr>
        <w:t>The Logic of Historical Explanation</w:t>
      </w:r>
      <w:r w:rsidRPr="00DE04EC">
        <w:rPr>
          <w:rFonts w:ascii="Garamond" w:hAnsi="Garamond" w:cs="Times New Roman"/>
          <w:sz w:val="24"/>
          <w:szCs w:val="24"/>
        </w:rPr>
        <w:t xml:space="preserve"> (University Park: Pennsylvania State University Press, 1996)</w:t>
      </w:r>
      <w:r w:rsidR="000321CD">
        <w:rPr>
          <w:rFonts w:ascii="Garamond" w:hAnsi="Garamond" w:cs="Times New Roman"/>
          <w:sz w:val="24"/>
          <w:szCs w:val="24"/>
        </w:rPr>
        <w:t>.</w:t>
      </w:r>
      <w:r w:rsidRPr="00DE04EC">
        <w:rPr>
          <w:rFonts w:ascii="Garamond" w:hAnsi="Garamond" w:cs="Times New Roman"/>
          <w:sz w:val="24"/>
          <w:szCs w:val="24"/>
        </w:rPr>
        <w:t xml:space="preserve"> </w:t>
      </w:r>
      <w:r w:rsidR="000321CD">
        <w:rPr>
          <w:rFonts w:ascii="Garamond" w:hAnsi="Garamond" w:cs="Times New Roman"/>
          <w:sz w:val="24"/>
          <w:szCs w:val="24"/>
        </w:rPr>
        <w:t>C</w:t>
      </w:r>
      <w:r w:rsidRPr="00DE04EC">
        <w:rPr>
          <w:rFonts w:ascii="Garamond" w:hAnsi="Garamond" w:cs="Times New Roman"/>
          <w:sz w:val="24"/>
          <w:szCs w:val="24"/>
        </w:rPr>
        <w:t>hapters 1 and 2</w:t>
      </w:r>
      <w:r w:rsidR="000321CD">
        <w:rPr>
          <w:rFonts w:ascii="Garamond" w:hAnsi="Garamond" w:cs="Times New Roman"/>
          <w:sz w:val="24"/>
          <w:szCs w:val="24"/>
        </w:rPr>
        <w:t xml:space="preserve">. </w:t>
      </w:r>
    </w:p>
    <w:p w14:paraId="6A27C2D1" w14:textId="77777777" w:rsidR="00DE04EC" w:rsidRDefault="00DE04EC" w:rsidP="00C20346">
      <w:pPr>
        <w:spacing w:line="240" w:lineRule="auto"/>
        <w:contextualSpacing/>
        <w:rPr>
          <w:rFonts w:ascii="Garamond" w:hAnsi="Garamond" w:cs="Times New Roman"/>
          <w:sz w:val="24"/>
          <w:szCs w:val="24"/>
        </w:rPr>
      </w:pPr>
    </w:p>
    <w:p w14:paraId="29D5D16A" w14:textId="77777777" w:rsidR="00D26C9E" w:rsidRPr="00D26C9E" w:rsidRDefault="00D26C9E" w:rsidP="00D26C9E">
      <w:pPr>
        <w:spacing w:line="240" w:lineRule="auto"/>
        <w:contextualSpacing/>
        <w:rPr>
          <w:rFonts w:ascii="Garamond" w:hAnsi="Garamond" w:cs="Times New Roman"/>
          <w:sz w:val="24"/>
          <w:szCs w:val="24"/>
        </w:rPr>
      </w:pPr>
      <w:r w:rsidRPr="00D26C9E">
        <w:rPr>
          <w:rFonts w:ascii="Garamond" w:hAnsi="Garamond" w:cs="Times New Roman"/>
          <w:sz w:val="24"/>
          <w:szCs w:val="24"/>
        </w:rPr>
        <w:t xml:space="preserve">James Mahoney, “Process Tracing and Historical Explanation,” </w:t>
      </w:r>
      <w:r w:rsidRPr="00D26C9E">
        <w:rPr>
          <w:rFonts w:ascii="Garamond" w:hAnsi="Garamond" w:cs="Times New Roman"/>
          <w:i/>
          <w:iCs/>
          <w:sz w:val="24"/>
          <w:szCs w:val="24"/>
        </w:rPr>
        <w:t>Security Studies</w:t>
      </w:r>
      <w:r w:rsidRPr="00D26C9E">
        <w:rPr>
          <w:rFonts w:ascii="Garamond" w:hAnsi="Garamond" w:cs="Times New Roman"/>
          <w:sz w:val="24"/>
          <w:szCs w:val="24"/>
        </w:rPr>
        <w:t xml:space="preserve"> 24, no. 2 (April 2015): 200–218.</w:t>
      </w:r>
    </w:p>
    <w:p w14:paraId="545E8C22" w14:textId="4A32DEAD" w:rsidR="007F5743" w:rsidRDefault="007F5743" w:rsidP="00C20346">
      <w:pPr>
        <w:spacing w:line="240" w:lineRule="auto"/>
        <w:contextualSpacing/>
        <w:rPr>
          <w:rFonts w:ascii="Garamond" w:hAnsi="Garamond" w:cs="Times New Roman"/>
          <w:sz w:val="24"/>
          <w:szCs w:val="24"/>
        </w:rPr>
      </w:pPr>
    </w:p>
    <w:p w14:paraId="1C956306" w14:textId="0C6FA96B" w:rsidR="007F5743" w:rsidRDefault="007F5743" w:rsidP="00C20346">
      <w:pPr>
        <w:spacing w:line="240" w:lineRule="auto"/>
        <w:contextualSpacing/>
        <w:rPr>
          <w:rFonts w:ascii="Garamond" w:hAnsi="Garamond" w:cs="Times New Roman"/>
          <w:sz w:val="24"/>
          <w:szCs w:val="24"/>
        </w:rPr>
      </w:pPr>
      <w:r w:rsidRPr="007F5743">
        <w:rPr>
          <w:rFonts w:ascii="Garamond" w:hAnsi="Garamond" w:cs="Times New Roman"/>
          <w:sz w:val="24"/>
          <w:szCs w:val="24"/>
        </w:rPr>
        <w:t xml:space="preserve">James Mahoney, Erin Kimball, and Kendra L. Koivu, “The Logic of Historical Explanation in Social Sciences,” </w:t>
      </w:r>
      <w:r w:rsidRPr="007F5743">
        <w:rPr>
          <w:rFonts w:ascii="Garamond" w:hAnsi="Garamond" w:cs="Times New Roman"/>
          <w:i/>
          <w:iCs/>
          <w:sz w:val="24"/>
          <w:szCs w:val="24"/>
        </w:rPr>
        <w:t>Comparative Political Studies</w:t>
      </w:r>
      <w:r w:rsidRPr="007F5743">
        <w:rPr>
          <w:rFonts w:ascii="Garamond" w:hAnsi="Garamond" w:cs="Times New Roman"/>
          <w:sz w:val="24"/>
          <w:szCs w:val="24"/>
        </w:rPr>
        <w:t xml:space="preserve"> 42, no. 1 (January 2009): 114–46.</w:t>
      </w:r>
    </w:p>
    <w:p w14:paraId="5FA5920C" w14:textId="77777777" w:rsidR="00C20346" w:rsidRDefault="00C20346" w:rsidP="00C20346">
      <w:pPr>
        <w:spacing w:line="240" w:lineRule="auto"/>
        <w:contextualSpacing/>
        <w:rPr>
          <w:rFonts w:ascii="Garamond" w:hAnsi="Garamond" w:cs="Times New Roman"/>
          <w:sz w:val="24"/>
          <w:szCs w:val="24"/>
        </w:rPr>
      </w:pPr>
    </w:p>
    <w:p w14:paraId="3116C93F" w14:textId="77777777" w:rsidR="00C20346" w:rsidRPr="00C20346" w:rsidRDefault="00C20346" w:rsidP="00C20346">
      <w:pPr>
        <w:spacing w:line="240" w:lineRule="auto"/>
        <w:contextualSpacing/>
        <w:rPr>
          <w:rFonts w:ascii="Garamond" w:hAnsi="Garamond" w:cs="Times New Roman"/>
          <w:sz w:val="24"/>
          <w:szCs w:val="24"/>
        </w:rPr>
      </w:pPr>
      <w:r w:rsidRPr="00C20346">
        <w:rPr>
          <w:rFonts w:ascii="Garamond" w:hAnsi="Garamond" w:cs="Times New Roman"/>
          <w:sz w:val="24"/>
          <w:szCs w:val="24"/>
        </w:rPr>
        <w:t xml:space="preserve">Marc Bloch, </w:t>
      </w:r>
      <w:r w:rsidRPr="00C20346">
        <w:rPr>
          <w:rFonts w:ascii="Garamond" w:hAnsi="Garamond" w:cs="Times New Roman"/>
          <w:i/>
          <w:iCs/>
          <w:sz w:val="24"/>
          <w:szCs w:val="24"/>
        </w:rPr>
        <w:t>The Historian’s Craft</w:t>
      </w:r>
      <w:r w:rsidRPr="00C20346">
        <w:rPr>
          <w:rFonts w:ascii="Garamond" w:hAnsi="Garamond" w:cs="Times New Roman"/>
          <w:sz w:val="24"/>
          <w:szCs w:val="24"/>
        </w:rPr>
        <w:t>, trans. Peter Putnam (New York: Vintage Books, 1953).</w:t>
      </w:r>
    </w:p>
    <w:p w14:paraId="28E4264B" w14:textId="77777777" w:rsidR="00BA4D8C" w:rsidRDefault="00BA4D8C" w:rsidP="001F71B5">
      <w:pPr>
        <w:spacing w:line="240" w:lineRule="auto"/>
        <w:contextualSpacing/>
        <w:rPr>
          <w:rFonts w:ascii="Garamond" w:hAnsi="Garamond" w:cs="Times New Roman"/>
          <w:b/>
          <w:i/>
          <w:sz w:val="24"/>
          <w:szCs w:val="24"/>
        </w:rPr>
      </w:pPr>
    </w:p>
    <w:p w14:paraId="50C82AA6" w14:textId="53FA0FBB" w:rsidR="00BA4D8C" w:rsidRDefault="00194BBE" w:rsidP="001F71B5">
      <w:pPr>
        <w:spacing w:line="240" w:lineRule="auto"/>
        <w:contextualSpacing/>
        <w:rPr>
          <w:rFonts w:ascii="Garamond" w:hAnsi="Garamond" w:cs="Times New Roman"/>
          <w:bCs/>
          <w:iCs/>
          <w:sz w:val="24"/>
          <w:szCs w:val="24"/>
        </w:rPr>
      </w:pPr>
      <w:r w:rsidRPr="00194BBE">
        <w:rPr>
          <w:rFonts w:ascii="Garamond" w:hAnsi="Garamond" w:cs="Times New Roman"/>
          <w:bCs/>
          <w:iCs/>
          <w:sz w:val="24"/>
          <w:szCs w:val="24"/>
        </w:rPr>
        <w:fldChar w:fldCharType="begin"/>
      </w:r>
      <w:r w:rsidR="00A96125">
        <w:rPr>
          <w:rFonts w:ascii="Garamond" w:hAnsi="Garamond" w:cs="Times New Roman"/>
          <w:bCs/>
          <w:iCs/>
          <w:sz w:val="24"/>
          <w:szCs w:val="24"/>
        </w:rPr>
        <w:instrText xml:space="preserve"> ADDIN ZOTERO_ITEM CSL_CITATION {"citationID":"q93rzeYA","properties":{"formattedCitation":"Paul Schroeder, \\uc0\\u8220{}Historical Reality vs. Neo-Realist Theory,\\uc0\\u8221{} {\\i{}International Security} 19, no. 1 (Summer 1994): 108\\uc0\\u8211{}48.","plainCitation":"Paul Schroeder, “Historical Reality vs. Neo-Realist Theory,” International Security 19, no. 1 (Summer 1994): 108–48.","noteIndex":0},"citationItems":[{"id":13685,"uris":["http://zotero.org/users/4231237/items/X5KIAFC6"],"itemData":{"id":13685,"type":"article-journal","container-title":"International Security","issue":"1","page":"108-148","title":"Historical Reality vs. Neo-Realist Theory","volume":"19","author":[{"family":"Schroeder","given":"Paul"}],"issued":{"date-parts":[["1994"]],"season":"Summer"}}}],"schema":"https://github.com/citation-style-language/schema/raw/master/csl-citation.json"} </w:instrText>
      </w:r>
      <w:r w:rsidRPr="00194BBE">
        <w:rPr>
          <w:rFonts w:ascii="Garamond" w:hAnsi="Garamond" w:cs="Times New Roman"/>
          <w:bCs/>
          <w:iCs/>
          <w:sz w:val="24"/>
          <w:szCs w:val="24"/>
        </w:rPr>
        <w:fldChar w:fldCharType="separate"/>
      </w:r>
      <w:r w:rsidRPr="00194BBE">
        <w:rPr>
          <w:rFonts w:ascii="Garamond" w:hAnsi="Garamond" w:cs="Times New Roman"/>
          <w:bCs/>
          <w:iCs/>
          <w:sz w:val="24"/>
          <w:szCs w:val="24"/>
        </w:rPr>
        <w:t xml:space="preserve">Paul Schroeder, “Historical Reality vs. Neo-Realist Theory,” </w:t>
      </w:r>
      <w:r w:rsidRPr="00194BBE">
        <w:rPr>
          <w:rFonts w:ascii="Garamond" w:hAnsi="Garamond" w:cs="Times New Roman"/>
          <w:bCs/>
          <w:i/>
          <w:iCs/>
          <w:sz w:val="24"/>
          <w:szCs w:val="24"/>
        </w:rPr>
        <w:t>International Security</w:t>
      </w:r>
      <w:r w:rsidRPr="00194BBE">
        <w:rPr>
          <w:rFonts w:ascii="Garamond" w:hAnsi="Garamond" w:cs="Times New Roman"/>
          <w:bCs/>
          <w:iCs/>
          <w:sz w:val="24"/>
          <w:szCs w:val="24"/>
        </w:rPr>
        <w:t xml:space="preserve"> 19, no. 1 (Summer 1994): 108–48.</w:t>
      </w:r>
      <w:r w:rsidRPr="00194BBE">
        <w:rPr>
          <w:rFonts w:ascii="Garamond" w:hAnsi="Garamond" w:cs="Times New Roman"/>
          <w:bCs/>
          <w:iCs/>
          <w:sz w:val="24"/>
          <w:szCs w:val="24"/>
        </w:rPr>
        <w:fldChar w:fldCharType="end"/>
      </w:r>
    </w:p>
    <w:p w14:paraId="366C22B3" w14:textId="6D7BEAEA" w:rsidR="00236F19" w:rsidRDefault="00236F19" w:rsidP="001F71B5">
      <w:pPr>
        <w:spacing w:line="240" w:lineRule="auto"/>
        <w:contextualSpacing/>
        <w:rPr>
          <w:rFonts w:ascii="Garamond" w:hAnsi="Garamond" w:cs="Times New Roman"/>
          <w:bCs/>
          <w:iCs/>
          <w:sz w:val="24"/>
          <w:szCs w:val="24"/>
        </w:rPr>
      </w:pPr>
    </w:p>
    <w:p w14:paraId="26518E0A" w14:textId="1AB16049" w:rsidR="00236F19" w:rsidRDefault="00236F19" w:rsidP="00236F19">
      <w:pPr>
        <w:spacing w:line="240" w:lineRule="auto"/>
        <w:contextualSpacing/>
        <w:rPr>
          <w:rFonts w:ascii="Garamond" w:hAnsi="Garamond" w:cs="Times New Roman"/>
          <w:sz w:val="24"/>
          <w:szCs w:val="24"/>
        </w:rPr>
      </w:pPr>
      <w:r w:rsidRPr="00A776E1">
        <w:rPr>
          <w:rFonts w:ascii="Garamond" w:hAnsi="Garamond" w:cs="Times New Roman"/>
          <w:sz w:val="24"/>
          <w:szCs w:val="24"/>
        </w:rPr>
        <w:t xml:space="preserve">Hidemi Suganami, “Narrative Explanation and International Relations: Back to Basics,” </w:t>
      </w:r>
      <w:r w:rsidRPr="00A776E1">
        <w:rPr>
          <w:rFonts w:ascii="Garamond" w:hAnsi="Garamond" w:cs="Times New Roman"/>
          <w:i/>
          <w:iCs/>
          <w:sz w:val="24"/>
          <w:szCs w:val="24"/>
        </w:rPr>
        <w:t>Millenium: Journal of International Studies</w:t>
      </w:r>
      <w:r w:rsidRPr="00A776E1">
        <w:rPr>
          <w:rFonts w:ascii="Garamond" w:hAnsi="Garamond" w:cs="Times New Roman"/>
          <w:sz w:val="24"/>
          <w:szCs w:val="24"/>
        </w:rPr>
        <w:t xml:space="preserve"> 37, no. 2 (2008): 327–56.</w:t>
      </w:r>
    </w:p>
    <w:p w14:paraId="21C798D4" w14:textId="3D24EDC0" w:rsidR="0070482C" w:rsidRDefault="0070482C" w:rsidP="00236F19">
      <w:pPr>
        <w:spacing w:line="240" w:lineRule="auto"/>
        <w:contextualSpacing/>
        <w:rPr>
          <w:rFonts w:ascii="Garamond" w:hAnsi="Garamond" w:cs="Times New Roman"/>
          <w:sz w:val="24"/>
          <w:szCs w:val="24"/>
        </w:rPr>
      </w:pPr>
    </w:p>
    <w:p w14:paraId="3DBC7713" w14:textId="2F27FBC2" w:rsidR="00AE68E5" w:rsidRPr="00581C95" w:rsidRDefault="00E162FE" w:rsidP="00AE68E5">
      <w:pPr>
        <w:spacing w:line="240" w:lineRule="auto"/>
        <w:contextualSpacing/>
        <w:rPr>
          <w:rFonts w:ascii="Garamond" w:hAnsi="Garamond" w:cs="Times New Roman"/>
          <w:b/>
          <w:i/>
          <w:sz w:val="24"/>
          <w:szCs w:val="24"/>
        </w:rPr>
      </w:pPr>
      <w:r w:rsidRPr="00581C95">
        <w:rPr>
          <w:rFonts w:ascii="Garamond" w:hAnsi="Garamond" w:cs="Times New Roman"/>
          <w:b/>
          <w:i/>
          <w:sz w:val="24"/>
          <w:szCs w:val="24"/>
        </w:rPr>
        <w:t xml:space="preserve">How should I prepare for the archives, and what do I do when I get there? </w:t>
      </w:r>
    </w:p>
    <w:p w14:paraId="2BF217CC" w14:textId="0187AA2E" w:rsidR="00E162FE" w:rsidRPr="00581C95" w:rsidRDefault="00E162FE" w:rsidP="00AE68E5">
      <w:pPr>
        <w:spacing w:line="240" w:lineRule="auto"/>
        <w:contextualSpacing/>
        <w:rPr>
          <w:rFonts w:ascii="Garamond" w:hAnsi="Garamond" w:cs="Times New Roman"/>
          <w:b/>
          <w:i/>
          <w:sz w:val="24"/>
          <w:szCs w:val="24"/>
        </w:rPr>
      </w:pPr>
    </w:p>
    <w:p w14:paraId="4C985B9C" w14:textId="15DD54E1" w:rsidR="00E162FE" w:rsidRPr="00581C95" w:rsidRDefault="00E162FE" w:rsidP="00AE68E5">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Robert A. Caro, </w:t>
      </w:r>
      <w:r w:rsidRPr="00581C95">
        <w:rPr>
          <w:rFonts w:ascii="Garamond" w:hAnsi="Garamond" w:cs="Times New Roman"/>
          <w:b/>
          <w:i/>
          <w:iCs/>
          <w:sz w:val="24"/>
          <w:szCs w:val="24"/>
        </w:rPr>
        <w:t>Working: Researching, Interviewing, Writing</w:t>
      </w:r>
      <w:r w:rsidRPr="00581C95">
        <w:rPr>
          <w:rFonts w:ascii="Garamond" w:hAnsi="Garamond" w:cs="Times New Roman"/>
          <w:b/>
          <w:iCs/>
          <w:sz w:val="24"/>
          <w:szCs w:val="24"/>
        </w:rPr>
        <w:t xml:space="preserve"> (New York: Alfred A. Knopf, 2019)</w:t>
      </w:r>
      <w:r w:rsidR="000321CD">
        <w:rPr>
          <w:rFonts w:ascii="Garamond" w:hAnsi="Garamond" w:cs="Times New Roman"/>
          <w:b/>
          <w:iCs/>
          <w:sz w:val="24"/>
          <w:szCs w:val="24"/>
        </w:rPr>
        <w:t>, 84–100 (C</w:t>
      </w:r>
      <w:r w:rsidRPr="00581C95">
        <w:rPr>
          <w:rFonts w:ascii="Garamond" w:hAnsi="Garamond" w:cs="Times New Roman"/>
          <w:b/>
          <w:iCs/>
          <w:sz w:val="24"/>
          <w:szCs w:val="24"/>
        </w:rPr>
        <w:t xml:space="preserve">hapter </w:t>
      </w:r>
      <w:r w:rsidR="0008044B" w:rsidRPr="00581C95">
        <w:rPr>
          <w:rFonts w:ascii="Garamond" w:hAnsi="Garamond" w:cs="Times New Roman"/>
          <w:b/>
          <w:iCs/>
          <w:sz w:val="24"/>
          <w:szCs w:val="24"/>
        </w:rPr>
        <w:t>“LBJA”</w:t>
      </w:r>
      <w:r w:rsidR="000321CD">
        <w:rPr>
          <w:rFonts w:ascii="Garamond" w:hAnsi="Garamond" w:cs="Times New Roman"/>
          <w:b/>
          <w:iCs/>
          <w:sz w:val="24"/>
          <w:szCs w:val="24"/>
        </w:rPr>
        <w:t>).</w:t>
      </w:r>
    </w:p>
    <w:p w14:paraId="0230D70B" w14:textId="77777777" w:rsidR="00AE68E5" w:rsidRPr="00581C95" w:rsidRDefault="00AE68E5" w:rsidP="00AE68E5">
      <w:pPr>
        <w:spacing w:line="240" w:lineRule="auto"/>
        <w:contextualSpacing/>
        <w:rPr>
          <w:rFonts w:ascii="Garamond" w:hAnsi="Garamond" w:cs="Times New Roman"/>
          <w:b/>
          <w:i/>
          <w:sz w:val="24"/>
          <w:szCs w:val="24"/>
        </w:rPr>
      </w:pPr>
    </w:p>
    <w:p w14:paraId="26B66AE2" w14:textId="70DBB448" w:rsidR="00AE68E5" w:rsidRPr="00581C95" w:rsidRDefault="00AE68E5" w:rsidP="00AE68E5">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Brandon Rottinghaus, “The Search for the Elusive Executive: Archival Collection Methods and Presidential Libraries,” in </w:t>
      </w:r>
      <w:r w:rsidRPr="00581C95">
        <w:rPr>
          <w:rFonts w:ascii="Garamond" w:hAnsi="Garamond" w:cs="Times New Roman"/>
          <w:b/>
          <w:i/>
          <w:iCs/>
          <w:sz w:val="24"/>
          <w:szCs w:val="24"/>
        </w:rPr>
        <w:t>Doing Archival Research in Political Science</w:t>
      </w:r>
      <w:r w:rsidRPr="00581C95">
        <w:rPr>
          <w:rFonts w:ascii="Garamond" w:hAnsi="Garamond" w:cs="Times New Roman"/>
          <w:b/>
          <w:iCs/>
          <w:sz w:val="24"/>
          <w:szCs w:val="24"/>
        </w:rPr>
        <w:t>, ed. Scott Frisch et al. (Amherst: Cambria Press, 2002).</w:t>
      </w:r>
      <w:r w:rsidR="00D422FD">
        <w:rPr>
          <w:rFonts w:ascii="Garamond" w:hAnsi="Garamond" w:cs="Times New Roman"/>
          <w:b/>
          <w:iCs/>
          <w:sz w:val="24"/>
          <w:szCs w:val="24"/>
        </w:rPr>
        <w:t xml:space="preserve"> </w:t>
      </w:r>
    </w:p>
    <w:p w14:paraId="3F2F282F" w14:textId="77777777" w:rsidR="00AE68E5" w:rsidRPr="00581C95" w:rsidRDefault="00AE68E5" w:rsidP="00AE68E5">
      <w:pPr>
        <w:spacing w:line="240" w:lineRule="auto"/>
        <w:contextualSpacing/>
        <w:rPr>
          <w:rFonts w:ascii="Garamond" w:hAnsi="Garamond" w:cs="Times New Roman"/>
          <w:b/>
          <w:iCs/>
          <w:sz w:val="24"/>
          <w:szCs w:val="24"/>
        </w:rPr>
      </w:pPr>
    </w:p>
    <w:p w14:paraId="0F2579E1" w14:textId="1F4ACF22" w:rsidR="00AE68E5" w:rsidRPr="00581C95" w:rsidRDefault="00AE68E5" w:rsidP="00AE68E5">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Sean Kelly and Linda Whitaker, “Hitting the Road Without Hitting the Potholes,” in </w:t>
      </w:r>
      <w:r w:rsidRPr="00581C95">
        <w:rPr>
          <w:rFonts w:ascii="Garamond" w:hAnsi="Garamond" w:cs="Times New Roman"/>
          <w:b/>
          <w:i/>
          <w:iCs/>
          <w:sz w:val="24"/>
          <w:szCs w:val="24"/>
        </w:rPr>
        <w:t>Doing Archival Research in Political Science</w:t>
      </w:r>
      <w:r w:rsidRPr="00581C95">
        <w:rPr>
          <w:rFonts w:ascii="Garamond" w:hAnsi="Garamond" w:cs="Times New Roman"/>
          <w:b/>
          <w:iCs/>
          <w:sz w:val="24"/>
          <w:szCs w:val="24"/>
        </w:rPr>
        <w:t>, ed. Scott Frisch et al. (Amherst: Cambria Press, 2002).</w:t>
      </w:r>
      <w:r w:rsidR="00D422FD">
        <w:rPr>
          <w:rFonts w:ascii="Garamond" w:hAnsi="Garamond" w:cs="Times New Roman"/>
          <w:b/>
          <w:iCs/>
          <w:sz w:val="24"/>
          <w:szCs w:val="24"/>
        </w:rPr>
        <w:t xml:space="preserve"> </w:t>
      </w:r>
    </w:p>
    <w:p w14:paraId="2BC1684F" w14:textId="77777777" w:rsidR="00AE68E5" w:rsidRPr="00581C95" w:rsidRDefault="00AE68E5" w:rsidP="00AE68E5">
      <w:pPr>
        <w:spacing w:line="240" w:lineRule="auto"/>
        <w:contextualSpacing/>
        <w:rPr>
          <w:rFonts w:ascii="Garamond" w:hAnsi="Garamond" w:cs="Times New Roman"/>
          <w:b/>
          <w:iCs/>
          <w:sz w:val="24"/>
          <w:szCs w:val="24"/>
        </w:rPr>
      </w:pPr>
    </w:p>
    <w:p w14:paraId="35CB61B0" w14:textId="77777777" w:rsidR="00AE68E5" w:rsidRDefault="00AE68E5" w:rsidP="00AE68E5">
      <w:pPr>
        <w:spacing w:line="240" w:lineRule="auto"/>
        <w:contextualSpacing/>
        <w:rPr>
          <w:rFonts w:ascii="Garamond" w:hAnsi="Garamond" w:cs="Times New Roman"/>
          <w:b/>
          <w:iCs/>
          <w:sz w:val="24"/>
          <w:szCs w:val="24"/>
        </w:rPr>
      </w:pPr>
      <w:r w:rsidRPr="00581C95">
        <w:rPr>
          <w:rFonts w:ascii="Garamond" w:hAnsi="Garamond" w:cs="Times New Roman"/>
          <w:b/>
          <w:iCs/>
          <w:sz w:val="24"/>
          <w:szCs w:val="24"/>
        </w:rPr>
        <w:t xml:space="preserve">Diana Kapiszewski, Lauren MacLean, and Benjamin Lelan Read, </w:t>
      </w:r>
      <w:r w:rsidRPr="00581C95">
        <w:rPr>
          <w:rFonts w:ascii="Garamond" w:hAnsi="Garamond" w:cs="Times New Roman"/>
          <w:b/>
          <w:i/>
          <w:iCs/>
          <w:sz w:val="24"/>
          <w:szCs w:val="24"/>
        </w:rPr>
        <w:t>Field Research in Political Science: Practices and Principles</w:t>
      </w:r>
      <w:r w:rsidRPr="00581C95">
        <w:rPr>
          <w:rFonts w:ascii="Garamond" w:hAnsi="Garamond" w:cs="Times New Roman"/>
          <w:b/>
          <w:iCs/>
          <w:sz w:val="24"/>
          <w:szCs w:val="24"/>
        </w:rPr>
        <w:t xml:space="preserve"> (Cambridge: Cambridge University Press, 2015), 178–87.</w:t>
      </w:r>
    </w:p>
    <w:p w14:paraId="6AE23DF7" w14:textId="77777777" w:rsidR="001B1C19" w:rsidRPr="00581C95" w:rsidRDefault="001B1C19" w:rsidP="00AE68E5">
      <w:pPr>
        <w:spacing w:line="240" w:lineRule="auto"/>
        <w:contextualSpacing/>
        <w:rPr>
          <w:rFonts w:ascii="Garamond" w:hAnsi="Garamond" w:cs="Times New Roman"/>
          <w:b/>
          <w:iCs/>
          <w:sz w:val="24"/>
          <w:szCs w:val="24"/>
        </w:rPr>
      </w:pPr>
    </w:p>
    <w:p w14:paraId="7A1337DE" w14:textId="77777777" w:rsidR="00A776E1" w:rsidRDefault="00A776E1" w:rsidP="001F71B5">
      <w:pPr>
        <w:spacing w:line="240" w:lineRule="auto"/>
        <w:contextualSpacing/>
        <w:rPr>
          <w:rFonts w:ascii="Garamond" w:hAnsi="Garamond" w:cs="Times New Roman"/>
          <w:b/>
          <w:i/>
          <w:sz w:val="24"/>
          <w:szCs w:val="24"/>
        </w:rPr>
      </w:pPr>
    </w:p>
    <w:p w14:paraId="2170CD4A" w14:textId="017B0CA1" w:rsidR="001F71B5" w:rsidRDefault="00087827" w:rsidP="001F71B5">
      <w:pPr>
        <w:spacing w:line="240" w:lineRule="auto"/>
        <w:contextualSpacing/>
        <w:rPr>
          <w:rFonts w:ascii="Garamond" w:hAnsi="Garamond" w:cs="Times New Roman"/>
          <w:b/>
          <w:i/>
          <w:sz w:val="24"/>
          <w:szCs w:val="24"/>
        </w:rPr>
      </w:pPr>
      <w:r>
        <w:rPr>
          <w:rFonts w:ascii="Garamond" w:hAnsi="Garamond" w:cs="Times New Roman"/>
          <w:b/>
          <w:i/>
          <w:sz w:val="24"/>
          <w:szCs w:val="24"/>
        </w:rPr>
        <w:t xml:space="preserve">March 27: </w:t>
      </w:r>
    </w:p>
    <w:p w14:paraId="094FBABD" w14:textId="52BBAD44" w:rsidR="003426B9" w:rsidRDefault="003426B9" w:rsidP="001F71B5">
      <w:pPr>
        <w:spacing w:line="240" w:lineRule="auto"/>
        <w:contextualSpacing/>
        <w:rPr>
          <w:rFonts w:ascii="Garamond" w:hAnsi="Garamond" w:cs="Times New Roman"/>
          <w:b/>
          <w:i/>
          <w:sz w:val="24"/>
          <w:szCs w:val="24"/>
        </w:rPr>
      </w:pPr>
    </w:p>
    <w:p w14:paraId="04F2E3EC" w14:textId="63986F21" w:rsidR="003426B9" w:rsidRDefault="00C20346" w:rsidP="001F71B5">
      <w:pPr>
        <w:spacing w:line="240" w:lineRule="auto"/>
        <w:contextualSpacing/>
        <w:rPr>
          <w:rFonts w:ascii="Garamond" w:hAnsi="Garamond" w:cs="Times New Roman"/>
          <w:b/>
          <w:i/>
          <w:sz w:val="24"/>
          <w:szCs w:val="24"/>
        </w:rPr>
      </w:pPr>
      <w:r w:rsidRPr="00581C95">
        <w:rPr>
          <w:rFonts w:ascii="Garamond" w:hAnsi="Garamond" w:cs="Times New Roman"/>
          <w:b/>
          <w:i/>
          <w:sz w:val="24"/>
          <w:szCs w:val="24"/>
        </w:rPr>
        <w:t>The interpretation of evidence</w:t>
      </w:r>
    </w:p>
    <w:p w14:paraId="6E55FA69" w14:textId="77777777" w:rsidR="007E5891" w:rsidRDefault="007E5891" w:rsidP="001F71B5">
      <w:pPr>
        <w:spacing w:line="240" w:lineRule="auto"/>
        <w:contextualSpacing/>
        <w:rPr>
          <w:rFonts w:ascii="Garamond" w:hAnsi="Garamond" w:cs="Times New Roman"/>
          <w:b/>
          <w:i/>
          <w:sz w:val="24"/>
          <w:szCs w:val="24"/>
        </w:rPr>
      </w:pPr>
    </w:p>
    <w:p w14:paraId="5621A522" w14:textId="2B1C2188" w:rsidR="007E5891" w:rsidRPr="00C86B7B" w:rsidRDefault="007E5891" w:rsidP="001F71B5">
      <w:pPr>
        <w:spacing w:line="240" w:lineRule="auto"/>
        <w:contextualSpacing/>
        <w:rPr>
          <w:rFonts w:ascii="Garamond" w:hAnsi="Garamond" w:cs="Times New Roman"/>
          <w:b/>
          <w:iCs/>
          <w:sz w:val="24"/>
          <w:szCs w:val="24"/>
        </w:rPr>
      </w:pPr>
      <w:r>
        <w:rPr>
          <w:rFonts w:ascii="Garamond" w:hAnsi="Garamond" w:cs="Times New Roman"/>
          <w:b/>
          <w:iCs/>
          <w:sz w:val="24"/>
          <w:szCs w:val="24"/>
        </w:rPr>
        <w:t>Arl</w:t>
      </w:r>
      <w:r w:rsidR="00C86B7B">
        <w:rPr>
          <w:rFonts w:ascii="Garamond" w:hAnsi="Garamond" w:cs="Times New Roman"/>
          <w:b/>
          <w:iCs/>
          <w:sz w:val="24"/>
          <w:szCs w:val="24"/>
        </w:rPr>
        <w:t>e</w:t>
      </w:r>
      <w:r>
        <w:rPr>
          <w:rFonts w:ascii="Garamond" w:hAnsi="Garamond" w:cs="Times New Roman"/>
          <w:b/>
          <w:iCs/>
          <w:sz w:val="24"/>
          <w:szCs w:val="24"/>
        </w:rPr>
        <w:t>tte Farge</w:t>
      </w:r>
      <w:r w:rsidR="00C86B7B">
        <w:rPr>
          <w:rFonts w:ascii="Garamond" w:hAnsi="Garamond" w:cs="Times New Roman"/>
          <w:b/>
          <w:iCs/>
          <w:sz w:val="24"/>
          <w:szCs w:val="24"/>
        </w:rPr>
        <w:t xml:space="preserve">, </w:t>
      </w:r>
      <w:r w:rsidR="00C86B7B">
        <w:rPr>
          <w:rFonts w:ascii="Garamond" w:hAnsi="Garamond" w:cs="Times New Roman"/>
          <w:b/>
          <w:i/>
          <w:sz w:val="24"/>
          <w:szCs w:val="24"/>
        </w:rPr>
        <w:t xml:space="preserve">The Allure of the Archives </w:t>
      </w:r>
      <w:r w:rsidR="00654D49">
        <w:rPr>
          <w:rFonts w:ascii="Garamond" w:hAnsi="Garamond" w:cs="Times New Roman"/>
          <w:b/>
          <w:iCs/>
          <w:sz w:val="24"/>
          <w:szCs w:val="24"/>
        </w:rPr>
        <w:t xml:space="preserve">(New Haven: Yale University Press, 2013), pages </w:t>
      </w:r>
      <w:r w:rsidR="007B2EEA">
        <w:rPr>
          <w:rFonts w:ascii="Garamond" w:hAnsi="Garamond" w:cs="Times New Roman"/>
          <w:b/>
          <w:iCs/>
          <w:sz w:val="24"/>
          <w:szCs w:val="24"/>
        </w:rPr>
        <w:t>1-17 and 53-</w:t>
      </w:r>
      <w:r w:rsidR="00B54902">
        <w:rPr>
          <w:rFonts w:ascii="Garamond" w:hAnsi="Garamond" w:cs="Times New Roman"/>
          <w:b/>
          <w:iCs/>
          <w:sz w:val="24"/>
          <w:szCs w:val="24"/>
        </w:rPr>
        <w:t>78.</w:t>
      </w:r>
      <w:r w:rsidR="00654D49">
        <w:rPr>
          <w:rFonts w:ascii="Garamond" w:hAnsi="Garamond" w:cs="Times New Roman"/>
          <w:b/>
          <w:iCs/>
          <w:sz w:val="24"/>
          <w:szCs w:val="24"/>
        </w:rPr>
        <w:t xml:space="preserve"> </w:t>
      </w:r>
    </w:p>
    <w:p w14:paraId="232202E0" w14:textId="6AD511CE" w:rsidR="00BA4D8C" w:rsidRPr="00581C95" w:rsidRDefault="00BA4D8C" w:rsidP="00AC5A9D">
      <w:pPr>
        <w:spacing w:line="240" w:lineRule="auto"/>
        <w:contextualSpacing/>
        <w:rPr>
          <w:rFonts w:ascii="Garamond" w:hAnsi="Garamond" w:cs="Times New Roman"/>
          <w:b/>
          <w:sz w:val="24"/>
          <w:szCs w:val="24"/>
        </w:rPr>
      </w:pPr>
    </w:p>
    <w:p w14:paraId="38F2A639" w14:textId="533BC04F" w:rsidR="00BA4D8C" w:rsidRPr="00581C95" w:rsidRDefault="00BA4D8C" w:rsidP="00BA4D8C">
      <w:pPr>
        <w:spacing w:line="240" w:lineRule="auto"/>
        <w:contextualSpacing/>
        <w:rPr>
          <w:rFonts w:ascii="Garamond" w:hAnsi="Garamond" w:cs="Times New Roman"/>
          <w:b/>
          <w:sz w:val="24"/>
          <w:szCs w:val="24"/>
        </w:rPr>
      </w:pPr>
      <w:r w:rsidRPr="00581C95">
        <w:rPr>
          <w:rFonts w:ascii="Garamond" w:hAnsi="Garamond" w:cs="Times New Roman"/>
          <w:b/>
          <w:sz w:val="24"/>
          <w:szCs w:val="24"/>
        </w:rPr>
        <w:t xml:space="preserve">Marc Trachtenberg, </w:t>
      </w:r>
      <w:r w:rsidRPr="00581C95">
        <w:rPr>
          <w:rFonts w:ascii="Garamond" w:hAnsi="Garamond" w:cs="Times New Roman"/>
          <w:b/>
          <w:i/>
          <w:iCs/>
          <w:sz w:val="24"/>
          <w:szCs w:val="24"/>
        </w:rPr>
        <w:t>The Craft of International History: A Guide to Method</w:t>
      </w:r>
      <w:r w:rsidRPr="00581C95">
        <w:rPr>
          <w:rFonts w:ascii="Garamond" w:hAnsi="Garamond" w:cs="Times New Roman"/>
          <w:b/>
          <w:sz w:val="24"/>
          <w:szCs w:val="24"/>
        </w:rPr>
        <w:t xml:space="preserve"> (Princeton</w:t>
      </w:r>
      <w:r w:rsidR="00AF51A4">
        <w:rPr>
          <w:rFonts w:ascii="Garamond" w:hAnsi="Garamond" w:cs="Times New Roman"/>
          <w:b/>
          <w:sz w:val="24"/>
          <w:szCs w:val="24"/>
        </w:rPr>
        <w:t>, NJ</w:t>
      </w:r>
      <w:r w:rsidRPr="00581C95">
        <w:rPr>
          <w:rFonts w:ascii="Garamond" w:hAnsi="Garamond" w:cs="Times New Roman"/>
          <w:b/>
          <w:sz w:val="24"/>
          <w:szCs w:val="24"/>
        </w:rPr>
        <w:t>: Princeton University Press, 2006)</w:t>
      </w:r>
      <w:r w:rsidR="00D422FD">
        <w:rPr>
          <w:rFonts w:ascii="Garamond" w:hAnsi="Garamond" w:cs="Times New Roman"/>
          <w:b/>
          <w:sz w:val="24"/>
          <w:szCs w:val="24"/>
        </w:rPr>
        <w:t>.</w:t>
      </w:r>
      <w:r w:rsidRPr="00581C95">
        <w:rPr>
          <w:rFonts w:ascii="Garamond" w:hAnsi="Garamond" w:cs="Times New Roman"/>
          <w:b/>
          <w:sz w:val="24"/>
          <w:szCs w:val="24"/>
        </w:rPr>
        <w:t xml:space="preserve"> Chapter 3 (“The Critical Analysis of Historical Texts”)</w:t>
      </w:r>
      <w:r w:rsidR="00D422FD">
        <w:rPr>
          <w:rFonts w:ascii="Garamond" w:hAnsi="Garamond" w:cs="Times New Roman"/>
          <w:b/>
          <w:sz w:val="24"/>
          <w:szCs w:val="24"/>
        </w:rPr>
        <w:t xml:space="preserve">. </w:t>
      </w:r>
    </w:p>
    <w:p w14:paraId="6BAD3DD7" w14:textId="77777777" w:rsidR="00C20346" w:rsidRPr="00581C95" w:rsidRDefault="00C20346" w:rsidP="00C20346">
      <w:pPr>
        <w:spacing w:line="240" w:lineRule="auto"/>
        <w:contextualSpacing/>
        <w:rPr>
          <w:rFonts w:ascii="Garamond" w:hAnsi="Garamond" w:cs="Times New Roman"/>
          <w:b/>
          <w:sz w:val="24"/>
          <w:szCs w:val="24"/>
        </w:rPr>
      </w:pPr>
    </w:p>
    <w:p w14:paraId="3928E385" w14:textId="3B173A38" w:rsidR="00C20346" w:rsidRPr="00422798" w:rsidRDefault="00702E12" w:rsidP="001F71B5">
      <w:pPr>
        <w:spacing w:line="240" w:lineRule="auto"/>
        <w:contextualSpacing/>
        <w:rPr>
          <w:rFonts w:ascii="Garamond" w:hAnsi="Garamond" w:cs="Times New Roman"/>
          <w:b/>
          <w:sz w:val="24"/>
          <w:szCs w:val="24"/>
        </w:rPr>
      </w:pPr>
      <w:r>
        <w:rPr>
          <w:rFonts w:ascii="Garamond" w:hAnsi="Garamond" w:cs="Times New Roman"/>
          <w:b/>
          <w:sz w:val="24"/>
          <w:szCs w:val="24"/>
        </w:rPr>
        <w:t>Rodney Bruce Hall and Friedrich V. Kratochwil, “Medieval Tales: Neorealist ‘Science’ and the Abuse of History</w:t>
      </w:r>
      <w:r w:rsidR="00422798">
        <w:rPr>
          <w:rFonts w:ascii="Garamond" w:hAnsi="Garamond" w:cs="Times New Roman"/>
          <w:b/>
          <w:sz w:val="24"/>
          <w:szCs w:val="24"/>
        </w:rPr>
        <w:t>,</w:t>
      </w:r>
      <w:r>
        <w:rPr>
          <w:rFonts w:ascii="Garamond" w:hAnsi="Garamond" w:cs="Times New Roman"/>
          <w:b/>
          <w:sz w:val="24"/>
          <w:szCs w:val="24"/>
        </w:rPr>
        <w:t>”</w:t>
      </w:r>
      <w:r w:rsidR="00422798">
        <w:rPr>
          <w:rFonts w:ascii="Garamond" w:hAnsi="Garamond" w:cs="Times New Roman"/>
          <w:b/>
          <w:sz w:val="24"/>
          <w:szCs w:val="24"/>
        </w:rPr>
        <w:t xml:space="preserve"> </w:t>
      </w:r>
      <w:r w:rsidR="00422798">
        <w:rPr>
          <w:rFonts w:ascii="Garamond" w:hAnsi="Garamond" w:cs="Times New Roman"/>
          <w:b/>
          <w:i/>
          <w:iCs/>
          <w:sz w:val="24"/>
          <w:szCs w:val="24"/>
        </w:rPr>
        <w:t xml:space="preserve">International Organization </w:t>
      </w:r>
      <w:r w:rsidR="00422798">
        <w:rPr>
          <w:rFonts w:ascii="Garamond" w:hAnsi="Garamond" w:cs="Times New Roman"/>
          <w:b/>
          <w:sz w:val="24"/>
          <w:szCs w:val="24"/>
        </w:rPr>
        <w:t>47:3 (Summer 1993)</w:t>
      </w:r>
      <w:r w:rsidR="00041309">
        <w:rPr>
          <w:rFonts w:ascii="Garamond" w:hAnsi="Garamond" w:cs="Times New Roman"/>
          <w:b/>
          <w:sz w:val="24"/>
          <w:szCs w:val="24"/>
        </w:rPr>
        <w:t>: 479-492.</w:t>
      </w:r>
    </w:p>
    <w:p w14:paraId="281B015B" w14:textId="77777777" w:rsidR="00843B99" w:rsidRPr="00581C95" w:rsidRDefault="00843B99" w:rsidP="001F71B5">
      <w:pPr>
        <w:spacing w:line="240" w:lineRule="auto"/>
        <w:contextualSpacing/>
        <w:rPr>
          <w:rFonts w:ascii="Garamond" w:hAnsi="Garamond" w:cs="Times New Roman"/>
          <w:b/>
          <w:sz w:val="24"/>
          <w:szCs w:val="24"/>
        </w:rPr>
      </w:pPr>
    </w:p>
    <w:p w14:paraId="41757ECD" w14:textId="13F90C05" w:rsidR="00A776E1" w:rsidRPr="00581C95" w:rsidRDefault="00A776E1" w:rsidP="00A776E1">
      <w:pPr>
        <w:spacing w:line="240" w:lineRule="auto"/>
        <w:contextualSpacing/>
        <w:rPr>
          <w:rFonts w:ascii="Garamond" w:hAnsi="Garamond" w:cs="Times New Roman"/>
          <w:b/>
          <w:sz w:val="24"/>
          <w:szCs w:val="24"/>
        </w:rPr>
      </w:pPr>
      <w:r w:rsidRPr="00581C95">
        <w:rPr>
          <w:rFonts w:ascii="Garamond" w:hAnsi="Garamond" w:cs="Times New Roman"/>
          <w:b/>
          <w:sz w:val="24"/>
          <w:szCs w:val="24"/>
        </w:rPr>
        <w:t>Barton Bernstein, “On FROGs, FKRs, and Related Issues” (Unpublished manuscript, October 3, 2016)</w:t>
      </w:r>
      <w:r w:rsidR="00304D72">
        <w:rPr>
          <w:rFonts w:ascii="Garamond" w:hAnsi="Garamond" w:cs="Times New Roman"/>
          <w:b/>
          <w:sz w:val="24"/>
          <w:szCs w:val="24"/>
        </w:rPr>
        <w:t xml:space="preserve"> (pay special attention to this reading, it’s one of the best things you will ever read)</w:t>
      </w:r>
      <w:r w:rsidR="00D422FD">
        <w:rPr>
          <w:rFonts w:ascii="Garamond" w:hAnsi="Garamond" w:cs="Times New Roman"/>
          <w:b/>
          <w:sz w:val="24"/>
          <w:szCs w:val="24"/>
        </w:rPr>
        <w:t xml:space="preserve"> </w:t>
      </w:r>
    </w:p>
    <w:p w14:paraId="2A2A6725" w14:textId="37C3C7AA" w:rsidR="00510842" w:rsidRPr="00581C95" w:rsidRDefault="00510842" w:rsidP="00A776E1">
      <w:pPr>
        <w:spacing w:line="240" w:lineRule="auto"/>
        <w:contextualSpacing/>
        <w:rPr>
          <w:rFonts w:ascii="Garamond" w:hAnsi="Garamond" w:cs="Times New Roman"/>
          <w:b/>
          <w:sz w:val="24"/>
          <w:szCs w:val="24"/>
        </w:rPr>
      </w:pPr>
    </w:p>
    <w:p w14:paraId="62C351DC" w14:textId="77777777" w:rsidR="00510842" w:rsidRPr="00581C95" w:rsidRDefault="00510842" w:rsidP="00510842">
      <w:pPr>
        <w:spacing w:line="240" w:lineRule="auto"/>
        <w:contextualSpacing/>
        <w:rPr>
          <w:rFonts w:ascii="Garamond" w:hAnsi="Garamond" w:cs="Times New Roman"/>
          <w:b/>
          <w:sz w:val="24"/>
          <w:szCs w:val="24"/>
        </w:rPr>
      </w:pPr>
      <w:r w:rsidRPr="00581C95">
        <w:rPr>
          <w:rFonts w:ascii="Garamond" w:hAnsi="Garamond" w:cs="Times New Roman"/>
          <w:b/>
          <w:sz w:val="24"/>
          <w:szCs w:val="24"/>
        </w:rPr>
        <w:t xml:space="preserve">Ian S. Lustick, “History, Historiography, and Political Science: Multiple Historical Records and the Problem of Selection Bias,” </w:t>
      </w:r>
      <w:r w:rsidRPr="00581C95">
        <w:rPr>
          <w:rFonts w:ascii="Garamond" w:hAnsi="Garamond" w:cs="Times New Roman"/>
          <w:b/>
          <w:i/>
          <w:iCs/>
          <w:sz w:val="24"/>
          <w:szCs w:val="24"/>
        </w:rPr>
        <w:t>The American Political Science Review</w:t>
      </w:r>
      <w:r w:rsidRPr="00581C95">
        <w:rPr>
          <w:rFonts w:ascii="Garamond" w:hAnsi="Garamond" w:cs="Times New Roman"/>
          <w:b/>
          <w:sz w:val="24"/>
          <w:szCs w:val="24"/>
        </w:rPr>
        <w:t xml:space="preserve"> 90, no. 3 (September 1996): 605–18.</w:t>
      </w:r>
    </w:p>
    <w:p w14:paraId="1569711E" w14:textId="293DE190" w:rsidR="00AC5A9D" w:rsidRDefault="00AC5A9D" w:rsidP="001F71B5">
      <w:pPr>
        <w:spacing w:line="240" w:lineRule="auto"/>
        <w:contextualSpacing/>
        <w:rPr>
          <w:rFonts w:ascii="Garamond" w:hAnsi="Garamond" w:cs="Times New Roman"/>
          <w:sz w:val="24"/>
          <w:szCs w:val="24"/>
        </w:rPr>
      </w:pPr>
    </w:p>
    <w:p w14:paraId="4603223C" w14:textId="60A7EDFD" w:rsidR="00BA4D8C" w:rsidRDefault="00BA4D8C" w:rsidP="001F71B5">
      <w:pPr>
        <w:spacing w:line="240" w:lineRule="auto"/>
        <w:contextualSpacing/>
        <w:rPr>
          <w:rFonts w:ascii="Garamond" w:hAnsi="Garamond" w:cs="Times New Roman"/>
          <w:sz w:val="24"/>
          <w:szCs w:val="24"/>
        </w:rPr>
      </w:pPr>
      <w:r>
        <w:rPr>
          <w:rFonts w:ascii="Garamond" w:hAnsi="Garamond" w:cs="Times New Roman"/>
          <w:sz w:val="24"/>
          <w:szCs w:val="24"/>
        </w:rPr>
        <w:t>OPTIONAL:</w:t>
      </w:r>
    </w:p>
    <w:p w14:paraId="6EDD9A1C" w14:textId="77777777" w:rsidR="00C86B7B" w:rsidRDefault="00C86B7B" w:rsidP="001F71B5">
      <w:pPr>
        <w:spacing w:line="240" w:lineRule="auto"/>
        <w:contextualSpacing/>
        <w:rPr>
          <w:rFonts w:ascii="Garamond" w:hAnsi="Garamond" w:cs="Times New Roman"/>
          <w:sz w:val="24"/>
          <w:szCs w:val="24"/>
        </w:rPr>
      </w:pPr>
    </w:p>
    <w:p w14:paraId="08A1BDA1" w14:textId="11CC3C86" w:rsidR="00C86B7B" w:rsidRPr="00C86B7B" w:rsidRDefault="00C86B7B" w:rsidP="001F71B5">
      <w:pPr>
        <w:spacing w:line="240" w:lineRule="auto"/>
        <w:contextualSpacing/>
        <w:rPr>
          <w:rFonts w:ascii="Garamond" w:hAnsi="Garamond" w:cs="Times New Roman"/>
          <w:bCs/>
          <w:sz w:val="24"/>
          <w:szCs w:val="24"/>
        </w:rPr>
      </w:pPr>
      <w:r w:rsidRPr="00C86B7B">
        <w:rPr>
          <w:rFonts w:ascii="Garamond" w:hAnsi="Garamond" w:cs="Times New Roman"/>
          <w:bCs/>
          <w:sz w:val="24"/>
          <w:szCs w:val="24"/>
        </w:rPr>
        <w:t xml:space="preserve">Cameron G. Thies, “A Pragmatic Guide to Qualitative Historical Analysis in the Study of International Relations,” </w:t>
      </w:r>
      <w:r w:rsidRPr="00C86B7B">
        <w:rPr>
          <w:rFonts w:ascii="Garamond" w:hAnsi="Garamond" w:cs="Times New Roman"/>
          <w:bCs/>
          <w:i/>
          <w:iCs/>
          <w:sz w:val="24"/>
          <w:szCs w:val="24"/>
        </w:rPr>
        <w:t>International Studies Perspectives</w:t>
      </w:r>
      <w:r w:rsidRPr="00C86B7B">
        <w:rPr>
          <w:rFonts w:ascii="Garamond" w:hAnsi="Garamond" w:cs="Times New Roman"/>
          <w:bCs/>
          <w:sz w:val="24"/>
          <w:szCs w:val="24"/>
        </w:rPr>
        <w:t xml:space="preserve"> 3 (2002): 351–72.</w:t>
      </w:r>
    </w:p>
    <w:p w14:paraId="2561EEA9" w14:textId="390D8484" w:rsidR="00BA4D8C" w:rsidRDefault="00BA4D8C" w:rsidP="001F71B5">
      <w:pPr>
        <w:spacing w:line="240" w:lineRule="auto"/>
        <w:contextualSpacing/>
        <w:rPr>
          <w:rFonts w:ascii="Garamond" w:hAnsi="Garamond" w:cs="Times New Roman"/>
          <w:sz w:val="24"/>
          <w:szCs w:val="24"/>
        </w:rPr>
      </w:pPr>
    </w:p>
    <w:p w14:paraId="62E738B1" w14:textId="77777777" w:rsidR="00843B99" w:rsidRPr="00843B99" w:rsidRDefault="00843B99" w:rsidP="00843B99">
      <w:pPr>
        <w:spacing w:line="240" w:lineRule="auto"/>
        <w:contextualSpacing/>
        <w:rPr>
          <w:rFonts w:ascii="Garamond" w:hAnsi="Garamond" w:cs="Times New Roman"/>
          <w:bCs/>
          <w:sz w:val="24"/>
          <w:szCs w:val="24"/>
        </w:rPr>
      </w:pPr>
      <w:r w:rsidRPr="00843B99">
        <w:rPr>
          <w:rFonts w:ascii="Garamond" w:hAnsi="Garamond" w:cs="Times New Roman"/>
          <w:bCs/>
          <w:sz w:val="24"/>
          <w:szCs w:val="24"/>
        </w:rPr>
        <w:fldChar w:fldCharType="begin"/>
      </w:r>
      <w:r w:rsidRPr="00843B99">
        <w:rPr>
          <w:rFonts w:ascii="Garamond" w:hAnsi="Garamond" w:cs="Times New Roman"/>
          <w:bCs/>
          <w:sz w:val="24"/>
          <w:szCs w:val="24"/>
        </w:rPr>
        <w:instrText xml:space="preserve"> ADDIN ZOTERO_ITEM CSL_CITATION {"citationID":"KeUuC1zZ","properties":{"formattedCitation":"Marc Trachtenberg, \\uc0\\u8220{}Audience Costs: An Historical Analysis,\\uc0\\u8221{} {\\i{}Security Studies} 21, no. 1 (January 2012): 3\\uc0\\u8211{}42.","plainCitation":"Marc Trachtenberg, “Audience Costs: An Historical Analysis,” Security Studies 21, no. 1 (January 2012): 3–42.","noteIndex":0},"citationItems":[{"id":1142,"uris":["http://zotero.org/users/4231237/items/CB9D68S3"],"itemData":{"id":1142,"type":"article-journal","abstract":"This article examines the argument that the ability of a government to generate “audience costs”—to create a situation, that is, in which it would pay a domestic political price for backing down—plays a key role in determining how international crises run their course. It does this by looking at a dozen great power crises to see how well various aspects of the audience costs argument hold up in the light of the historical evidence. The audience costs mechanism, it turns out, does not play a major role in any of those crises—a conclusion which, the author claims, has certain important methodological implications.","call-number":"71959909","container-title":"Security Studies","issue":"1","journalAbbreviation":"Security Studies","page":"3-42","source":"EBSCOhost","title":"Audience Costs: An Historical Analysis","title-short":"Audience Costs","volume":"21","author":[{"family":"Trachtenberg","given":"Marc"}],"issued":{"date-parts":[["2012",1]]}}}],"schema":"https://github.com/citation-style-language/schema/raw/master/csl-citation.json"} </w:instrText>
      </w:r>
      <w:r w:rsidRPr="00843B99">
        <w:rPr>
          <w:rFonts w:ascii="Garamond" w:hAnsi="Garamond" w:cs="Times New Roman"/>
          <w:bCs/>
          <w:sz w:val="24"/>
          <w:szCs w:val="24"/>
        </w:rPr>
        <w:fldChar w:fldCharType="separate"/>
      </w:r>
      <w:r w:rsidRPr="00843B99">
        <w:rPr>
          <w:rFonts w:ascii="Garamond" w:hAnsi="Garamond" w:cs="Times New Roman"/>
          <w:bCs/>
          <w:sz w:val="24"/>
          <w:szCs w:val="24"/>
        </w:rPr>
        <w:t xml:space="preserve">Marc Trachtenberg, “Audience Costs: An Historical Analysis,” </w:t>
      </w:r>
      <w:r w:rsidRPr="00843B99">
        <w:rPr>
          <w:rFonts w:ascii="Garamond" w:hAnsi="Garamond" w:cs="Times New Roman"/>
          <w:bCs/>
          <w:i/>
          <w:iCs/>
          <w:sz w:val="24"/>
          <w:szCs w:val="24"/>
        </w:rPr>
        <w:t>Security Studies</w:t>
      </w:r>
      <w:r w:rsidRPr="00843B99">
        <w:rPr>
          <w:rFonts w:ascii="Garamond" w:hAnsi="Garamond" w:cs="Times New Roman"/>
          <w:bCs/>
          <w:sz w:val="24"/>
          <w:szCs w:val="24"/>
        </w:rPr>
        <w:t xml:space="preserve"> 21, no. 1 (January 2012): 3–42.</w:t>
      </w:r>
      <w:r w:rsidRPr="00843B99">
        <w:rPr>
          <w:rFonts w:ascii="Garamond" w:hAnsi="Garamond" w:cs="Times New Roman"/>
          <w:bCs/>
          <w:sz w:val="24"/>
          <w:szCs w:val="24"/>
        </w:rPr>
        <w:fldChar w:fldCharType="end"/>
      </w:r>
    </w:p>
    <w:p w14:paraId="16D0CA22" w14:textId="77777777" w:rsidR="00843B99" w:rsidRDefault="00843B99" w:rsidP="001F71B5">
      <w:pPr>
        <w:spacing w:line="240" w:lineRule="auto"/>
        <w:contextualSpacing/>
        <w:rPr>
          <w:rFonts w:ascii="Garamond" w:hAnsi="Garamond" w:cs="Times New Roman"/>
          <w:sz w:val="24"/>
          <w:szCs w:val="24"/>
        </w:rPr>
      </w:pPr>
    </w:p>
    <w:p w14:paraId="6DDCFBE9" w14:textId="33577F21" w:rsidR="00BA4D8C" w:rsidRPr="00BA4D8C" w:rsidRDefault="00BA4D8C" w:rsidP="00BA4D8C">
      <w:pPr>
        <w:spacing w:line="240" w:lineRule="auto"/>
        <w:contextualSpacing/>
        <w:rPr>
          <w:rFonts w:ascii="Garamond" w:hAnsi="Garamond" w:cs="Times New Roman"/>
          <w:sz w:val="24"/>
          <w:szCs w:val="24"/>
        </w:rPr>
      </w:pPr>
      <w:r w:rsidRPr="00BA4D8C">
        <w:rPr>
          <w:rFonts w:ascii="Garamond" w:hAnsi="Garamond" w:cs="Times New Roman"/>
          <w:sz w:val="24"/>
          <w:szCs w:val="24"/>
        </w:rPr>
        <w:t xml:space="preserve">Marc Trachtenberg, </w:t>
      </w:r>
      <w:r w:rsidRPr="00BA4D8C">
        <w:rPr>
          <w:rFonts w:ascii="Garamond" w:hAnsi="Garamond" w:cs="Times New Roman"/>
          <w:i/>
          <w:iCs/>
          <w:sz w:val="24"/>
          <w:szCs w:val="24"/>
        </w:rPr>
        <w:t>The Cold War and After: History, Theory, and the Logic of International Politics</w:t>
      </w:r>
      <w:r w:rsidRPr="00BA4D8C">
        <w:rPr>
          <w:rFonts w:ascii="Garamond" w:hAnsi="Garamond" w:cs="Times New Roman"/>
          <w:sz w:val="24"/>
          <w:szCs w:val="24"/>
        </w:rPr>
        <w:t xml:space="preserve"> (Princeton</w:t>
      </w:r>
      <w:r w:rsidR="00AF51A4">
        <w:rPr>
          <w:rFonts w:ascii="Garamond" w:hAnsi="Garamond" w:cs="Times New Roman"/>
          <w:sz w:val="24"/>
          <w:szCs w:val="24"/>
        </w:rPr>
        <w:t>, NJ</w:t>
      </w:r>
      <w:r w:rsidRPr="00BA4D8C">
        <w:rPr>
          <w:rFonts w:ascii="Garamond" w:hAnsi="Garamond" w:cs="Times New Roman"/>
          <w:sz w:val="24"/>
          <w:szCs w:val="24"/>
        </w:rPr>
        <w:t>: Princeton University Press, 2012).</w:t>
      </w:r>
    </w:p>
    <w:p w14:paraId="56A17B7E" w14:textId="2D33D8A4" w:rsidR="00BA4D8C" w:rsidRDefault="00BA4D8C" w:rsidP="001F71B5">
      <w:pPr>
        <w:spacing w:line="240" w:lineRule="auto"/>
        <w:contextualSpacing/>
        <w:rPr>
          <w:rFonts w:ascii="Garamond" w:hAnsi="Garamond" w:cs="Times New Roman"/>
          <w:sz w:val="24"/>
          <w:szCs w:val="24"/>
        </w:rPr>
      </w:pPr>
    </w:p>
    <w:p w14:paraId="20232FC8" w14:textId="77777777" w:rsidR="00A776E1" w:rsidRPr="00A776E1" w:rsidRDefault="00A776E1" w:rsidP="00A776E1">
      <w:pPr>
        <w:spacing w:line="240" w:lineRule="auto"/>
        <w:contextualSpacing/>
        <w:rPr>
          <w:rFonts w:ascii="Garamond" w:hAnsi="Garamond" w:cs="Times New Roman"/>
          <w:bCs/>
          <w:iCs/>
          <w:sz w:val="24"/>
          <w:szCs w:val="24"/>
        </w:rPr>
      </w:pPr>
      <w:r w:rsidRPr="00A776E1">
        <w:rPr>
          <w:rFonts w:ascii="Garamond" w:hAnsi="Garamond" w:cs="Times New Roman"/>
          <w:bCs/>
          <w:iCs/>
          <w:sz w:val="24"/>
          <w:szCs w:val="24"/>
        </w:rPr>
        <w:t xml:space="preserve">Marcus Kreuzer, “Historical Knowledge and Quantitative Analysis: The Case of the Origins of Proportional Representation,” </w:t>
      </w:r>
      <w:r w:rsidRPr="00A776E1">
        <w:rPr>
          <w:rFonts w:ascii="Garamond" w:hAnsi="Garamond" w:cs="Times New Roman"/>
          <w:bCs/>
          <w:i/>
          <w:iCs/>
          <w:sz w:val="24"/>
          <w:szCs w:val="24"/>
        </w:rPr>
        <w:t>American Political Science Review</w:t>
      </w:r>
      <w:r w:rsidRPr="00A776E1">
        <w:rPr>
          <w:rFonts w:ascii="Garamond" w:hAnsi="Garamond" w:cs="Times New Roman"/>
          <w:bCs/>
          <w:iCs/>
          <w:sz w:val="24"/>
          <w:szCs w:val="24"/>
        </w:rPr>
        <w:t xml:space="preserve"> 104, no. 2 (May 2010): 369–92.</w:t>
      </w:r>
    </w:p>
    <w:p w14:paraId="7F806154" w14:textId="172AD8FB" w:rsidR="001F71B5" w:rsidRDefault="001F71B5" w:rsidP="001F71B5">
      <w:pPr>
        <w:spacing w:line="240" w:lineRule="auto"/>
        <w:contextualSpacing/>
        <w:rPr>
          <w:rFonts w:ascii="Garamond" w:hAnsi="Garamond" w:cs="Times New Roman"/>
          <w:sz w:val="24"/>
          <w:szCs w:val="24"/>
        </w:rPr>
      </w:pPr>
    </w:p>
    <w:p w14:paraId="42CDAEB0" w14:textId="68080BA8" w:rsidR="00510842" w:rsidRDefault="00510842" w:rsidP="00510842">
      <w:pPr>
        <w:spacing w:line="240" w:lineRule="auto"/>
        <w:contextualSpacing/>
        <w:rPr>
          <w:rFonts w:ascii="Garamond" w:hAnsi="Garamond" w:cs="Times New Roman"/>
          <w:sz w:val="24"/>
          <w:szCs w:val="24"/>
        </w:rPr>
      </w:pPr>
      <w:r w:rsidRPr="002E58B9">
        <w:rPr>
          <w:rFonts w:ascii="Garamond" w:hAnsi="Garamond" w:cs="Times New Roman"/>
          <w:sz w:val="24"/>
          <w:szCs w:val="24"/>
        </w:rPr>
        <w:t xml:space="preserve">Christopher Darnton, “Archives and Inference: Documentary Evidence in Case Study Research and the Debate over U.S. Entry into World War II,” </w:t>
      </w:r>
      <w:r w:rsidRPr="002E58B9">
        <w:rPr>
          <w:rFonts w:ascii="Garamond" w:hAnsi="Garamond" w:cs="Times New Roman"/>
          <w:i/>
          <w:iCs/>
          <w:sz w:val="24"/>
          <w:szCs w:val="24"/>
        </w:rPr>
        <w:t>International Security</w:t>
      </w:r>
      <w:r w:rsidRPr="002E58B9">
        <w:rPr>
          <w:rFonts w:ascii="Garamond" w:hAnsi="Garamond" w:cs="Times New Roman"/>
          <w:sz w:val="24"/>
          <w:szCs w:val="24"/>
        </w:rPr>
        <w:t xml:space="preserve"> 42, no. 3 (January 2018): 84–126.</w:t>
      </w:r>
    </w:p>
    <w:p w14:paraId="17B40C9E" w14:textId="77777777" w:rsidR="00510842" w:rsidRPr="002E58B9" w:rsidRDefault="00510842" w:rsidP="00510842">
      <w:pPr>
        <w:spacing w:line="240" w:lineRule="auto"/>
        <w:contextualSpacing/>
        <w:rPr>
          <w:rFonts w:ascii="Garamond" w:hAnsi="Garamond" w:cs="Times New Roman"/>
          <w:sz w:val="24"/>
          <w:szCs w:val="24"/>
        </w:rPr>
      </w:pPr>
    </w:p>
    <w:p w14:paraId="67B363C9" w14:textId="425EDA03" w:rsidR="00510842" w:rsidRDefault="00510842" w:rsidP="00510842">
      <w:pPr>
        <w:spacing w:line="240" w:lineRule="auto"/>
        <w:contextualSpacing/>
        <w:rPr>
          <w:rFonts w:ascii="Garamond" w:hAnsi="Garamond" w:cs="Times New Roman"/>
          <w:sz w:val="24"/>
          <w:szCs w:val="24"/>
        </w:rPr>
      </w:pPr>
      <w:r w:rsidRPr="002E58B9">
        <w:rPr>
          <w:rFonts w:ascii="Garamond" w:hAnsi="Garamond" w:cs="Times New Roman"/>
          <w:sz w:val="24"/>
          <w:szCs w:val="24"/>
        </w:rPr>
        <w:fldChar w:fldCharType="begin"/>
      </w:r>
      <w:r w:rsidR="00A96125">
        <w:rPr>
          <w:rFonts w:ascii="Garamond" w:hAnsi="Garamond" w:cs="Times New Roman"/>
          <w:sz w:val="24"/>
          <w:szCs w:val="24"/>
        </w:rPr>
        <w:instrText xml:space="preserve"> ADDIN ZOTERO_ITEM CSL_CITATION {"citationID":"PCYydpOA","properties":{"formattedCitation":"Tim B\\uc0\\u252{}the, \\uc0\\u8220{}Taking Temporarity Seriously: Modeling History and the Use of Narratives as Evidence,\\uc0\\u8221{} {\\i{}American Political Science Review} 96, no. 3 (September 2002): 481\\uc0\\u8211{}93.","plainCitation":"Tim Büthe, “Taking Temporarity Seriously: Modeling History and the Use of Narratives as Evidence,” American Political Science Review 96, no. 3 (September 2002): 481–93.","noteIndex":0},"citationItems":[{"id":13638,"uris":["http://zotero.org/users/4231237/items/EUUXU7Z4"],"itemData":{"id":13638,"type":"article-journal","container-title":"American Political Science Review","issue":"3","language":"en","page":"481-493","title":"Taking Temporarity Seriously: Modeling History and the Use of Narratives as Evidence","title-short":"Taking Temporarity Seriously","volume":"96","author":[{"family":"Büthe","given":"Tim"}],"issued":{"date-parts":[["2002",9]]}}}],"schema":"https://github.com/citation-style-language/schema/raw/master/csl-citation.json"} </w:instrText>
      </w:r>
      <w:r w:rsidRPr="002E58B9">
        <w:rPr>
          <w:rFonts w:ascii="Garamond" w:hAnsi="Garamond" w:cs="Times New Roman"/>
          <w:sz w:val="24"/>
          <w:szCs w:val="24"/>
        </w:rPr>
        <w:fldChar w:fldCharType="separate"/>
      </w:r>
      <w:r w:rsidR="00A96125" w:rsidRPr="00A96125">
        <w:rPr>
          <w:rFonts w:ascii="Garamond" w:hAnsi="Garamond" w:cs="Times New Roman"/>
          <w:sz w:val="24"/>
          <w:szCs w:val="24"/>
        </w:rPr>
        <w:t xml:space="preserve">Tim Büthe, “Taking Temporarity Seriously: Modeling History and the Use of Narratives as Evidence,” </w:t>
      </w:r>
      <w:r w:rsidR="00A96125" w:rsidRPr="00A96125">
        <w:rPr>
          <w:rFonts w:ascii="Garamond" w:hAnsi="Garamond" w:cs="Times New Roman"/>
          <w:i/>
          <w:iCs/>
          <w:sz w:val="24"/>
          <w:szCs w:val="24"/>
        </w:rPr>
        <w:t>American Political Science Review</w:t>
      </w:r>
      <w:r w:rsidR="00A96125" w:rsidRPr="00A96125">
        <w:rPr>
          <w:rFonts w:ascii="Garamond" w:hAnsi="Garamond" w:cs="Times New Roman"/>
          <w:sz w:val="24"/>
          <w:szCs w:val="24"/>
        </w:rPr>
        <w:t xml:space="preserve"> 96, no. 3 (September 2002): 481–93.</w:t>
      </w:r>
      <w:r w:rsidRPr="002E58B9">
        <w:rPr>
          <w:rFonts w:ascii="Garamond" w:hAnsi="Garamond" w:cs="Times New Roman"/>
          <w:sz w:val="24"/>
          <w:szCs w:val="24"/>
        </w:rPr>
        <w:fldChar w:fldCharType="end"/>
      </w:r>
    </w:p>
    <w:p w14:paraId="73F05F48" w14:textId="678454ED" w:rsidR="00D64256" w:rsidRDefault="00D64256" w:rsidP="00510842">
      <w:pPr>
        <w:spacing w:line="240" w:lineRule="auto"/>
        <w:contextualSpacing/>
        <w:rPr>
          <w:rFonts w:ascii="Garamond" w:hAnsi="Garamond" w:cs="Times New Roman"/>
          <w:sz w:val="24"/>
          <w:szCs w:val="24"/>
        </w:rPr>
      </w:pPr>
    </w:p>
    <w:p w14:paraId="5ABAE708" w14:textId="14471CFD" w:rsidR="00D64256" w:rsidRPr="00581C95" w:rsidRDefault="00D64256" w:rsidP="00510842">
      <w:pPr>
        <w:spacing w:line="240" w:lineRule="auto"/>
        <w:contextualSpacing/>
        <w:rPr>
          <w:rFonts w:ascii="Garamond" w:hAnsi="Garamond" w:cs="Times New Roman"/>
          <w:b/>
          <w:bCs/>
          <w:i/>
          <w:iCs/>
          <w:sz w:val="24"/>
          <w:szCs w:val="24"/>
        </w:rPr>
      </w:pPr>
      <w:r w:rsidRPr="00581C95">
        <w:rPr>
          <w:rFonts w:ascii="Garamond" w:hAnsi="Garamond" w:cs="Times New Roman"/>
          <w:b/>
          <w:bCs/>
          <w:i/>
          <w:iCs/>
          <w:sz w:val="24"/>
          <w:szCs w:val="24"/>
        </w:rPr>
        <w:lastRenderedPageBreak/>
        <w:t>How do I do a FOIA?</w:t>
      </w:r>
    </w:p>
    <w:p w14:paraId="072FC57E" w14:textId="4EB8335C" w:rsidR="00D64256" w:rsidRPr="00581C95" w:rsidRDefault="00D64256" w:rsidP="00510842">
      <w:pPr>
        <w:spacing w:line="240" w:lineRule="auto"/>
        <w:contextualSpacing/>
        <w:rPr>
          <w:rFonts w:ascii="Garamond" w:hAnsi="Garamond" w:cs="Times New Roman"/>
          <w:b/>
          <w:bCs/>
          <w:i/>
          <w:iCs/>
          <w:sz w:val="24"/>
          <w:szCs w:val="24"/>
        </w:rPr>
      </w:pPr>
    </w:p>
    <w:p w14:paraId="61D2D59F" w14:textId="0310A1E0" w:rsidR="00A776E1" w:rsidRDefault="00D64256"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National Security Archive, </w:t>
      </w:r>
      <w:r w:rsidRPr="00581C95">
        <w:rPr>
          <w:rFonts w:ascii="Garamond" w:hAnsi="Garamond" w:cs="Times New Roman"/>
          <w:b/>
          <w:bCs/>
          <w:i/>
          <w:iCs/>
          <w:sz w:val="24"/>
          <w:szCs w:val="24"/>
        </w:rPr>
        <w:t>Effective FOIA Requesting for Everyone: A National Security Archive Guide</w:t>
      </w:r>
      <w:r w:rsidRPr="00581C95">
        <w:rPr>
          <w:rFonts w:ascii="Garamond" w:hAnsi="Garamond" w:cs="Times New Roman"/>
          <w:b/>
          <w:bCs/>
          <w:sz w:val="24"/>
          <w:szCs w:val="24"/>
        </w:rPr>
        <w:t>, 2008, 1–78,</w:t>
      </w:r>
      <w:r w:rsidR="00D422FD">
        <w:rPr>
          <w:rFonts w:ascii="Garamond" w:hAnsi="Garamond" w:cs="Times New Roman"/>
          <w:b/>
          <w:bCs/>
          <w:sz w:val="24"/>
          <w:szCs w:val="24"/>
        </w:rPr>
        <w:t xml:space="preserve"> </w:t>
      </w:r>
      <w:hyperlink r:id="rId9" w:history="1">
        <w:r w:rsidR="00D422FD" w:rsidRPr="000320CA">
          <w:rPr>
            <w:rStyle w:val="Hyperlink"/>
            <w:rFonts w:ascii="Garamond" w:hAnsi="Garamond" w:cs="Times New Roman"/>
            <w:b/>
            <w:bCs/>
            <w:sz w:val="24"/>
            <w:szCs w:val="24"/>
          </w:rPr>
          <w:t>https://nsarchive2.gwu.edu//nsa/foia/foia_guide/foia_guide_full.pdf</w:t>
        </w:r>
      </w:hyperlink>
      <w:r w:rsidRPr="00581C95">
        <w:rPr>
          <w:rFonts w:ascii="Garamond" w:hAnsi="Garamond" w:cs="Times New Roman"/>
          <w:b/>
          <w:bCs/>
          <w:sz w:val="24"/>
          <w:szCs w:val="24"/>
        </w:rPr>
        <w:t>.</w:t>
      </w:r>
    </w:p>
    <w:p w14:paraId="422FFE6F" w14:textId="77777777" w:rsidR="005A1DE0" w:rsidRPr="00581C95" w:rsidRDefault="005A1DE0" w:rsidP="001F71B5">
      <w:pPr>
        <w:spacing w:line="240" w:lineRule="auto"/>
        <w:contextualSpacing/>
        <w:rPr>
          <w:rFonts w:ascii="Garamond" w:hAnsi="Garamond" w:cs="Times New Roman"/>
          <w:b/>
          <w:bCs/>
          <w:sz w:val="24"/>
          <w:szCs w:val="24"/>
        </w:rPr>
      </w:pPr>
    </w:p>
    <w:p w14:paraId="7B22BE5C" w14:textId="77777777" w:rsidR="001F71B5" w:rsidRDefault="001F71B5" w:rsidP="001F71B5">
      <w:pPr>
        <w:spacing w:line="240" w:lineRule="auto"/>
        <w:contextualSpacing/>
        <w:rPr>
          <w:rFonts w:ascii="Garamond" w:hAnsi="Garamond" w:cs="Times New Roman"/>
          <w:b/>
          <w:i/>
          <w:sz w:val="24"/>
          <w:szCs w:val="24"/>
        </w:rPr>
      </w:pPr>
    </w:p>
    <w:p w14:paraId="617D0982" w14:textId="77777777" w:rsidR="00087827" w:rsidRDefault="00087827" w:rsidP="00087827">
      <w:pPr>
        <w:spacing w:line="240" w:lineRule="auto"/>
        <w:contextualSpacing/>
        <w:rPr>
          <w:rFonts w:ascii="Garamond" w:hAnsi="Garamond" w:cs="Times New Roman"/>
          <w:b/>
          <w:i/>
          <w:sz w:val="24"/>
          <w:szCs w:val="24"/>
        </w:rPr>
      </w:pPr>
      <w:r>
        <w:rPr>
          <w:rFonts w:ascii="Garamond" w:hAnsi="Garamond" w:cs="Times New Roman"/>
          <w:b/>
          <w:i/>
          <w:sz w:val="24"/>
          <w:szCs w:val="24"/>
        </w:rPr>
        <w:t xml:space="preserve">April 3: </w:t>
      </w:r>
    </w:p>
    <w:p w14:paraId="291CA20F" w14:textId="77777777" w:rsidR="009A504C" w:rsidRDefault="009A504C" w:rsidP="001F71B5">
      <w:pPr>
        <w:spacing w:line="240" w:lineRule="auto"/>
        <w:contextualSpacing/>
        <w:rPr>
          <w:rFonts w:ascii="Garamond" w:hAnsi="Garamond" w:cs="Times New Roman"/>
          <w:b/>
          <w:i/>
          <w:sz w:val="24"/>
          <w:szCs w:val="24"/>
        </w:rPr>
      </w:pPr>
    </w:p>
    <w:p w14:paraId="0693023B" w14:textId="19181A14" w:rsidR="009A504C" w:rsidRPr="00581C95" w:rsidRDefault="009A504C" w:rsidP="009A504C">
      <w:pPr>
        <w:spacing w:line="240" w:lineRule="auto"/>
        <w:contextualSpacing/>
        <w:rPr>
          <w:rFonts w:ascii="Garamond" w:hAnsi="Garamond" w:cs="Times New Roman"/>
          <w:b/>
          <w:i/>
          <w:sz w:val="24"/>
          <w:szCs w:val="24"/>
        </w:rPr>
      </w:pPr>
      <w:r>
        <w:rPr>
          <w:rFonts w:ascii="Garamond" w:hAnsi="Garamond" w:cs="Times New Roman"/>
          <w:b/>
          <w:i/>
          <w:sz w:val="24"/>
          <w:szCs w:val="24"/>
        </w:rPr>
        <w:t>Counterfactuals</w:t>
      </w:r>
    </w:p>
    <w:p w14:paraId="578A6C05" w14:textId="77777777" w:rsidR="009A504C" w:rsidRDefault="009A504C" w:rsidP="009A504C">
      <w:pPr>
        <w:spacing w:line="240" w:lineRule="auto"/>
        <w:contextualSpacing/>
        <w:rPr>
          <w:rFonts w:ascii="Garamond" w:hAnsi="Garamond" w:cs="Times New Roman"/>
          <w:bCs/>
          <w:iCs/>
          <w:sz w:val="24"/>
          <w:szCs w:val="24"/>
        </w:rPr>
      </w:pPr>
    </w:p>
    <w:p w14:paraId="745EE370" w14:textId="02B9739F" w:rsidR="009A504C" w:rsidRPr="005F017F" w:rsidRDefault="009A504C" w:rsidP="009A504C">
      <w:pPr>
        <w:spacing w:line="240" w:lineRule="auto"/>
        <w:contextualSpacing/>
        <w:rPr>
          <w:rFonts w:ascii="Garamond" w:hAnsi="Garamond" w:cs="Times New Roman"/>
          <w:b/>
          <w:iCs/>
          <w:sz w:val="24"/>
          <w:szCs w:val="24"/>
        </w:rPr>
      </w:pPr>
      <w:r w:rsidRPr="005F017F">
        <w:rPr>
          <w:rFonts w:ascii="Garamond" w:hAnsi="Garamond" w:cs="Times New Roman"/>
          <w:b/>
          <w:iCs/>
          <w:sz w:val="24"/>
          <w:szCs w:val="24"/>
        </w:rPr>
        <w:t xml:space="preserve">Philip E. Tetlock and Aaron Belkin, “Counterfactual Thought Experiments in World Politics: Logical, Methodoligical, and Psychological Perspectives,” in </w:t>
      </w:r>
      <w:r w:rsidRPr="005F017F">
        <w:rPr>
          <w:rFonts w:ascii="Garamond" w:hAnsi="Garamond" w:cs="Times New Roman"/>
          <w:b/>
          <w:i/>
          <w:iCs/>
          <w:sz w:val="24"/>
          <w:szCs w:val="24"/>
        </w:rPr>
        <w:t>Counterfactual Thought Experiments in World Politics: Logical, Methodological, and Psychological Perspectives</w:t>
      </w:r>
      <w:r w:rsidRPr="005F017F">
        <w:rPr>
          <w:rFonts w:ascii="Garamond" w:hAnsi="Garamond" w:cs="Times New Roman"/>
          <w:b/>
          <w:iCs/>
          <w:sz w:val="24"/>
          <w:szCs w:val="24"/>
        </w:rPr>
        <w:t xml:space="preserve"> (Princeton, NJ: Princeton University Press, 1996), 3–38</w:t>
      </w:r>
      <w:r w:rsidR="00D422FD">
        <w:rPr>
          <w:rFonts w:ascii="Garamond" w:hAnsi="Garamond" w:cs="Times New Roman"/>
          <w:b/>
          <w:iCs/>
          <w:sz w:val="24"/>
          <w:szCs w:val="24"/>
        </w:rPr>
        <w:t xml:space="preserve"> (</w:t>
      </w:r>
      <w:r w:rsidRPr="005F017F">
        <w:rPr>
          <w:rFonts w:ascii="Garamond" w:hAnsi="Garamond" w:cs="Times New Roman"/>
          <w:b/>
          <w:iCs/>
          <w:sz w:val="24"/>
          <w:szCs w:val="24"/>
        </w:rPr>
        <w:t>Chapter 1</w:t>
      </w:r>
      <w:r w:rsidR="00D422FD">
        <w:rPr>
          <w:rFonts w:ascii="Garamond" w:hAnsi="Garamond" w:cs="Times New Roman"/>
          <w:b/>
          <w:iCs/>
          <w:sz w:val="24"/>
          <w:szCs w:val="24"/>
        </w:rPr>
        <w:t xml:space="preserve">). </w:t>
      </w:r>
    </w:p>
    <w:p w14:paraId="0B4A0D03" w14:textId="77777777" w:rsidR="009A504C" w:rsidRPr="005F017F" w:rsidRDefault="009A504C" w:rsidP="009A504C">
      <w:pPr>
        <w:spacing w:line="240" w:lineRule="auto"/>
        <w:contextualSpacing/>
        <w:rPr>
          <w:rFonts w:ascii="Garamond" w:hAnsi="Garamond" w:cs="Times New Roman"/>
          <w:b/>
          <w:iCs/>
          <w:sz w:val="24"/>
          <w:szCs w:val="24"/>
        </w:rPr>
      </w:pPr>
    </w:p>
    <w:p w14:paraId="32E1D467" w14:textId="0527B11C" w:rsidR="009A504C" w:rsidRPr="005F017F" w:rsidRDefault="009A504C" w:rsidP="009A504C">
      <w:pPr>
        <w:spacing w:line="240" w:lineRule="auto"/>
        <w:contextualSpacing/>
        <w:rPr>
          <w:rFonts w:ascii="Garamond" w:hAnsi="Garamond" w:cs="Times New Roman"/>
          <w:b/>
          <w:iCs/>
          <w:sz w:val="24"/>
          <w:szCs w:val="24"/>
        </w:rPr>
      </w:pPr>
      <w:r w:rsidRPr="005F017F">
        <w:rPr>
          <w:rFonts w:ascii="Garamond" w:hAnsi="Garamond" w:cs="Times New Roman"/>
          <w:b/>
          <w:iCs/>
          <w:sz w:val="24"/>
          <w:szCs w:val="24"/>
        </w:rPr>
        <w:t xml:space="preserve">Richard Ned Lebow and Janice Gross Stein, “Back to the Past: Counterfactuals and the Cuban Missile Crisis,” in </w:t>
      </w:r>
      <w:r w:rsidRPr="005F017F">
        <w:rPr>
          <w:rFonts w:ascii="Garamond" w:hAnsi="Garamond" w:cs="Times New Roman"/>
          <w:b/>
          <w:i/>
          <w:iCs/>
          <w:sz w:val="24"/>
          <w:szCs w:val="24"/>
        </w:rPr>
        <w:t>Counterfactual Thought Experiments in World Politics: Logical, Methodological, and Psychological Perspectives</w:t>
      </w:r>
      <w:r w:rsidRPr="005F017F">
        <w:rPr>
          <w:rFonts w:ascii="Garamond" w:hAnsi="Garamond" w:cs="Times New Roman"/>
          <w:b/>
          <w:iCs/>
          <w:sz w:val="24"/>
          <w:szCs w:val="24"/>
        </w:rPr>
        <w:t>, ed. Philip E. Tetlock and Aaron Belkin (Princeton, NJ: Princeton University Press, 1996), 119–48</w:t>
      </w:r>
      <w:r w:rsidR="00D422FD">
        <w:rPr>
          <w:rFonts w:ascii="Garamond" w:hAnsi="Garamond" w:cs="Times New Roman"/>
          <w:b/>
          <w:iCs/>
          <w:sz w:val="24"/>
          <w:szCs w:val="24"/>
        </w:rPr>
        <w:t xml:space="preserve"> (</w:t>
      </w:r>
      <w:r w:rsidRPr="005F017F">
        <w:rPr>
          <w:rFonts w:ascii="Garamond" w:hAnsi="Garamond" w:cs="Times New Roman"/>
          <w:b/>
          <w:iCs/>
          <w:sz w:val="24"/>
          <w:szCs w:val="24"/>
        </w:rPr>
        <w:t>Chapter 5</w:t>
      </w:r>
      <w:r w:rsidR="00D422FD">
        <w:rPr>
          <w:rFonts w:ascii="Garamond" w:hAnsi="Garamond" w:cs="Times New Roman"/>
          <w:b/>
          <w:iCs/>
          <w:sz w:val="24"/>
          <w:szCs w:val="24"/>
        </w:rPr>
        <w:t xml:space="preserve">). </w:t>
      </w:r>
    </w:p>
    <w:p w14:paraId="1C9E429F" w14:textId="77777777" w:rsidR="009A504C" w:rsidRPr="005F017F" w:rsidRDefault="009A504C" w:rsidP="009A504C">
      <w:pPr>
        <w:spacing w:line="240" w:lineRule="auto"/>
        <w:contextualSpacing/>
        <w:rPr>
          <w:rFonts w:ascii="Garamond" w:hAnsi="Garamond" w:cs="Times New Roman"/>
          <w:b/>
          <w:iCs/>
          <w:sz w:val="24"/>
          <w:szCs w:val="24"/>
        </w:rPr>
      </w:pPr>
    </w:p>
    <w:p w14:paraId="7E6E8102" w14:textId="77777777" w:rsidR="009A504C" w:rsidRPr="005F017F" w:rsidRDefault="009A504C" w:rsidP="009A504C">
      <w:pPr>
        <w:spacing w:line="240" w:lineRule="auto"/>
        <w:contextualSpacing/>
        <w:rPr>
          <w:rFonts w:ascii="Garamond" w:hAnsi="Garamond" w:cs="Times New Roman"/>
          <w:b/>
          <w:iCs/>
          <w:sz w:val="24"/>
          <w:szCs w:val="24"/>
        </w:rPr>
      </w:pPr>
      <w:r w:rsidRPr="005F017F">
        <w:rPr>
          <w:rFonts w:ascii="Garamond" w:hAnsi="Garamond" w:cs="Times New Roman"/>
          <w:b/>
          <w:iCs/>
          <w:sz w:val="24"/>
          <w:szCs w:val="24"/>
        </w:rPr>
        <w:t xml:space="preserve">James D. Fearon, “Counterfactuals and Hypothesis Testing in Political Science,” </w:t>
      </w:r>
      <w:r w:rsidRPr="005F017F">
        <w:rPr>
          <w:rFonts w:ascii="Garamond" w:hAnsi="Garamond" w:cs="Times New Roman"/>
          <w:b/>
          <w:i/>
          <w:iCs/>
          <w:sz w:val="24"/>
          <w:szCs w:val="24"/>
        </w:rPr>
        <w:t>World Politics</w:t>
      </w:r>
      <w:r w:rsidRPr="005F017F">
        <w:rPr>
          <w:rFonts w:ascii="Garamond" w:hAnsi="Garamond" w:cs="Times New Roman"/>
          <w:b/>
          <w:iCs/>
          <w:sz w:val="24"/>
          <w:szCs w:val="24"/>
        </w:rPr>
        <w:t xml:space="preserve"> 43, no. 2 (January 1991): 169–95.</w:t>
      </w:r>
    </w:p>
    <w:p w14:paraId="54900F80" w14:textId="77777777" w:rsidR="009A504C" w:rsidRDefault="009A504C" w:rsidP="009A504C">
      <w:pPr>
        <w:spacing w:line="240" w:lineRule="auto"/>
        <w:contextualSpacing/>
        <w:rPr>
          <w:rFonts w:ascii="Garamond" w:hAnsi="Garamond" w:cs="Times New Roman"/>
          <w:bCs/>
          <w:iCs/>
          <w:sz w:val="24"/>
          <w:szCs w:val="24"/>
        </w:rPr>
      </w:pPr>
    </w:p>
    <w:p w14:paraId="29F01533" w14:textId="546B32E1" w:rsidR="009A504C" w:rsidRPr="00FC4FED" w:rsidRDefault="009A504C" w:rsidP="009A504C">
      <w:pPr>
        <w:spacing w:line="240" w:lineRule="auto"/>
        <w:contextualSpacing/>
        <w:rPr>
          <w:rFonts w:ascii="Garamond" w:hAnsi="Garamond" w:cs="Times New Roman"/>
          <w:bCs/>
          <w:iCs/>
          <w:sz w:val="24"/>
          <w:szCs w:val="24"/>
        </w:rPr>
      </w:pPr>
      <w:r>
        <w:rPr>
          <w:rFonts w:ascii="Garamond" w:hAnsi="Garamond" w:cs="Times New Roman"/>
          <w:bCs/>
          <w:iCs/>
          <w:sz w:val="24"/>
          <w:szCs w:val="24"/>
        </w:rPr>
        <w:t>OPTIONAL:</w:t>
      </w:r>
    </w:p>
    <w:p w14:paraId="70583338" w14:textId="77777777" w:rsidR="009A504C" w:rsidRDefault="009A504C" w:rsidP="009A504C">
      <w:pPr>
        <w:spacing w:line="240" w:lineRule="auto"/>
        <w:contextualSpacing/>
        <w:rPr>
          <w:rFonts w:ascii="Garamond" w:hAnsi="Garamond" w:cs="Times New Roman"/>
          <w:bCs/>
          <w:iCs/>
          <w:sz w:val="24"/>
          <w:szCs w:val="24"/>
        </w:rPr>
      </w:pPr>
    </w:p>
    <w:p w14:paraId="30F310F8" w14:textId="071848E7" w:rsidR="00611E82" w:rsidRDefault="00611E82" w:rsidP="009A504C">
      <w:pPr>
        <w:spacing w:line="240" w:lineRule="auto"/>
        <w:contextualSpacing/>
        <w:rPr>
          <w:rFonts w:ascii="Garamond" w:hAnsi="Garamond" w:cs="Times New Roman"/>
          <w:bCs/>
          <w:iCs/>
          <w:sz w:val="24"/>
          <w:szCs w:val="24"/>
        </w:rPr>
      </w:pPr>
      <w:r w:rsidRPr="00FC4FED">
        <w:rPr>
          <w:rFonts w:ascii="Garamond" w:hAnsi="Garamond" w:cs="Times New Roman"/>
          <w:bCs/>
          <w:iCs/>
          <w:sz w:val="24"/>
          <w:szCs w:val="24"/>
        </w:rPr>
        <w:t xml:space="preserve">James Fearon, “Causes and Counterfactuals in Social Science: Exploring an Analogy Between Cellular Automata and Historical Processes,” in </w:t>
      </w:r>
      <w:r w:rsidRPr="00FC4FED">
        <w:rPr>
          <w:rFonts w:ascii="Garamond" w:hAnsi="Garamond" w:cs="Times New Roman"/>
          <w:bCs/>
          <w:i/>
          <w:iCs/>
          <w:sz w:val="24"/>
          <w:szCs w:val="24"/>
        </w:rPr>
        <w:t>Counterfactual Thought Experiments in World Politics: Logical, Methodological, and Psychological Perspectives</w:t>
      </w:r>
      <w:r w:rsidRPr="00FC4FED">
        <w:rPr>
          <w:rFonts w:ascii="Garamond" w:hAnsi="Garamond" w:cs="Times New Roman"/>
          <w:bCs/>
          <w:iCs/>
          <w:sz w:val="24"/>
          <w:szCs w:val="24"/>
        </w:rPr>
        <w:t>, ed. Philip E. Tetlock and Aaron Belkin (Princeton</w:t>
      </w:r>
      <w:r w:rsidR="00AF51A4">
        <w:rPr>
          <w:rFonts w:ascii="Garamond" w:hAnsi="Garamond" w:cs="Times New Roman"/>
          <w:bCs/>
          <w:iCs/>
          <w:sz w:val="24"/>
          <w:szCs w:val="24"/>
        </w:rPr>
        <w:t>, NJ</w:t>
      </w:r>
      <w:r w:rsidRPr="00FC4FED">
        <w:rPr>
          <w:rFonts w:ascii="Garamond" w:hAnsi="Garamond" w:cs="Times New Roman"/>
          <w:bCs/>
          <w:iCs/>
          <w:sz w:val="24"/>
          <w:szCs w:val="24"/>
        </w:rPr>
        <w:t>: Princeton University Press, 1996), 37–67</w:t>
      </w:r>
      <w:r w:rsidR="00D422FD">
        <w:rPr>
          <w:rFonts w:ascii="Garamond" w:hAnsi="Garamond" w:cs="Times New Roman"/>
          <w:bCs/>
          <w:iCs/>
          <w:sz w:val="24"/>
          <w:szCs w:val="24"/>
        </w:rPr>
        <w:t xml:space="preserve"> (</w:t>
      </w:r>
      <w:r w:rsidRPr="00FC4FED">
        <w:rPr>
          <w:rFonts w:ascii="Garamond" w:hAnsi="Garamond" w:cs="Times New Roman"/>
          <w:bCs/>
          <w:iCs/>
          <w:sz w:val="24"/>
          <w:szCs w:val="24"/>
        </w:rPr>
        <w:t>Chapter 2</w:t>
      </w:r>
      <w:r w:rsidR="00D422FD">
        <w:rPr>
          <w:rFonts w:ascii="Garamond" w:hAnsi="Garamond" w:cs="Times New Roman"/>
          <w:bCs/>
          <w:iCs/>
          <w:sz w:val="24"/>
          <w:szCs w:val="24"/>
        </w:rPr>
        <w:t xml:space="preserve">). </w:t>
      </w:r>
    </w:p>
    <w:p w14:paraId="3841E2D8" w14:textId="77777777" w:rsidR="00611E82" w:rsidRDefault="00611E82" w:rsidP="009A504C">
      <w:pPr>
        <w:spacing w:line="240" w:lineRule="auto"/>
        <w:contextualSpacing/>
        <w:rPr>
          <w:rFonts w:ascii="Garamond" w:hAnsi="Garamond" w:cs="Times New Roman"/>
          <w:bCs/>
          <w:iCs/>
          <w:sz w:val="24"/>
          <w:szCs w:val="24"/>
        </w:rPr>
      </w:pPr>
    </w:p>
    <w:p w14:paraId="02B1D12D" w14:textId="11988426" w:rsidR="009A504C" w:rsidRPr="00FC4FED" w:rsidRDefault="009A504C" w:rsidP="009A504C">
      <w:pPr>
        <w:spacing w:line="240" w:lineRule="auto"/>
        <w:contextualSpacing/>
        <w:rPr>
          <w:rFonts w:ascii="Garamond" w:hAnsi="Garamond" w:cs="Times New Roman"/>
          <w:bCs/>
          <w:iCs/>
          <w:sz w:val="24"/>
          <w:szCs w:val="24"/>
        </w:rPr>
      </w:pPr>
      <w:r w:rsidRPr="00FC4FED">
        <w:rPr>
          <w:rFonts w:ascii="Garamond" w:hAnsi="Garamond" w:cs="Times New Roman"/>
          <w:bCs/>
          <w:iCs/>
          <w:sz w:val="24"/>
          <w:szCs w:val="24"/>
        </w:rPr>
        <w:t xml:space="preserve">George W. Breslauer and Richard Ned Lebow, “Leadership and the End of the Cold War: A Counterfactual Thought Experiment,” in </w:t>
      </w:r>
      <w:r w:rsidRPr="00FC4FED">
        <w:rPr>
          <w:rFonts w:ascii="Garamond" w:hAnsi="Garamond" w:cs="Times New Roman"/>
          <w:bCs/>
          <w:i/>
          <w:iCs/>
          <w:sz w:val="24"/>
          <w:szCs w:val="24"/>
        </w:rPr>
        <w:t>Editing the Cold War: Interpretations, Causation, and the Study of International Relations</w:t>
      </w:r>
      <w:r w:rsidRPr="00FC4FED">
        <w:rPr>
          <w:rFonts w:ascii="Garamond" w:hAnsi="Garamond" w:cs="Times New Roman"/>
          <w:bCs/>
          <w:iCs/>
          <w:sz w:val="24"/>
          <w:szCs w:val="24"/>
        </w:rPr>
        <w:t>, ed. Richard K. Herrmann and Richard Ned Lebow (New York: Palgrave Macmillan, 2004), 161–88</w:t>
      </w:r>
      <w:r w:rsidR="00D422FD">
        <w:rPr>
          <w:rFonts w:ascii="Garamond" w:hAnsi="Garamond" w:cs="Times New Roman"/>
          <w:bCs/>
          <w:iCs/>
          <w:sz w:val="24"/>
          <w:szCs w:val="24"/>
        </w:rPr>
        <w:t xml:space="preserve"> (</w:t>
      </w:r>
      <w:r w:rsidRPr="00FC4FED">
        <w:rPr>
          <w:rFonts w:ascii="Garamond" w:hAnsi="Garamond" w:cs="Times New Roman"/>
          <w:bCs/>
          <w:iCs/>
          <w:sz w:val="24"/>
          <w:szCs w:val="24"/>
        </w:rPr>
        <w:t>Chapter 7</w:t>
      </w:r>
      <w:r w:rsidR="00D422FD">
        <w:rPr>
          <w:rFonts w:ascii="Garamond" w:hAnsi="Garamond" w:cs="Times New Roman"/>
          <w:bCs/>
          <w:iCs/>
          <w:sz w:val="24"/>
          <w:szCs w:val="24"/>
        </w:rPr>
        <w:t xml:space="preserve">). </w:t>
      </w:r>
    </w:p>
    <w:p w14:paraId="7AB25920" w14:textId="77777777" w:rsidR="009A504C" w:rsidRDefault="009A504C" w:rsidP="009A504C">
      <w:pPr>
        <w:spacing w:line="240" w:lineRule="auto"/>
        <w:contextualSpacing/>
        <w:rPr>
          <w:rFonts w:ascii="Garamond" w:hAnsi="Garamond" w:cs="Times New Roman"/>
          <w:bCs/>
          <w:iCs/>
          <w:sz w:val="24"/>
          <w:szCs w:val="24"/>
        </w:rPr>
      </w:pPr>
    </w:p>
    <w:p w14:paraId="27122028" w14:textId="77777777" w:rsidR="009A504C" w:rsidRPr="00FC4FED" w:rsidRDefault="009A504C" w:rsidP="009A504C">
      <w:pPr>
        <w:spacing w:line="240" w:lineRule="auto"/>
        <w:contextualSpacing/>
        <w:rPr>
          <w:rFonts w:ascii="Garamond" w:hAnsi="Garamond" w:cs="Times New Roman"/>
          <w:bCs/>
          <w:iCs/>
          <w:sz w:val="24"/>
          <w:szCs w:val="24"/>
        </w:rPr>
      </w:pPr>
      <w:r w:rsidRPr="00FC4FED">
        <w:rPr>
          <w:rFonts w:ascii="Garamond" w:hAnsi="Garamond" w:cs="Times New Roman"/>
          <w:bCs/>
          <w:iCs/>
          <w:sz w:val="24"/>
          <w:szCs w:val="24"/>
        </w:rPr>
        <w:t xml:space="preserve">Jack S. Levy, “Counterfactuals, Causal Inference, and Historical Analysis,” </w:t>
      </w:r>
      <w:r w:rsidRPr="00FC4FED">
        <w:rPr>
          <w:rFonts w:ascii="Garamond" w:hAnsi="Garamond" w:cs="Times New Roman"/>
          <w:bCs/>
          <w:i/>
          <w:iCs/>
          <w:sz w:val="24"/>
          <w:szCs w:val="24"/>
        </w:rPr>
        <w:t>Security Studies</w:t>
      </w:r>
      <w:r w:rsidRPr="00FC4FED">
        <w:rPr>
          <w:rFonts w:ascii="Garamond" w:hAnsi="Garamond" w:cs="Times New Roman"/>
          <w:bCs/>
          <w:iCs/>
          <w:sz w:val="24"/>
          <w:szCs w:val="24"/>
        </w:rPr>
        <w:t xml:space="preserve"> 24, no. 3 (2015): 378–402.</w:t>
      </w:r>
    </w:p>
    <w:p w14:paraId="7D686EED" w14:textId="77777777" w:rsidR="009A504C" w:rsidRDefault="009A504C" w:rsidP="009A504C">
      <w:pPr>
        <w:spacing w:line="240" w:lineRule="auto"/>
        <w:contextualSpacing/>
        <w:rPr>
          <w:rFonts w:ascii="Garamond" w:hAnsi="Garamond" w:cs="Times New Roman"/>
          <w:bCs/>
          <w:iCs/>
          <w:sz w:val="24"/>
          <w:szCs w:val="24"/>
        </w:rPr>
      </w:pPr>
    </w:p>
    <w:p w14:paraId="2A74767B" w14:textId="77777777" w:rsidR="009A504C" w:rsidRPr="00FC4FED" w:rsidRDefault="009A504C" w:rsidP="009A504C">
      <w:pPr>
        <w:spacing w:line="240" w:lineRule="auto"/>
        <w:contextualSpacing/>
        <w:rPr>
          <w:rFonts w:ascii="Garamond" w:hAnsi="Garamond" w:cs="Times New Roman"/>
          <w:bCs/>
          <w:iCs/>
          <w:sz w:val="24"/>
          <w:szCs w:val="24"/>
        </w:rPr>
      </w:pPr>
      <w:r w:rsidRPr="00FC4FED">
        <w:rPr>
          <w:rFonts w:ascii="Garamond" w:hAnsi="Garamond" w:cs="Times New Roman"/>
          <w:bCs/>
          <w:iCs/>
          <w:sz w:val="24"/>
          <w:szCs w:val="24"/>
        </w:rPr>
        <w:t xml:space="preserve">Richard Ned Lebow, “Counterfactuals and Security Studies,” </w:t>
      </w:r>
      <w:r w:rsidRPr="00FC4FED">
        <w:rPr>
          <w:rFonts w:ascii="Garamond" w:hAnsi="Garamond" w:cs="Times New Roman"/>
          <w:bCs/>
          <w:i/>
          <w:iCs/>
          <w:sz w:val="24"/>
          <w:szCs w:val="24"/>
        </w:rPr>
        <w:t>Security Studies</w:t>
      </w:r>
      <w:r w:rsidRPr="00FC4FED">
        <w:rPr>
          <w:rFonts w:ascii="Garamond" w:hAnsi="Garamond" w:cs="Times New Roman"/>
          <w:bCs/>
          <w:iCs/>
          <w:sz w:val="24"/>
          <w:szCs w:val="24"/>
        </w:rPr>
        <w:t xml:space="preserve"> 24, no. 3 (July 2015): 403–12.</w:t>
      </w:r>
    </w:p>
    <w:p w14:paraId="50F2143D" w14:textId="77777777" w:rsidR="009A504C" w:rsidRDefault="009A504C" w:rsidP="009A504C">
      <w:pPr>
        <w:spacing w:line="240" w:lineRule="auto"/>
        <w:contextualSpacing/>
        <w:rPr>
          <w:rFonts w:ascii="Garamond" w:hAnsi="Garamond" w:cs="Times New Roman"/>
          <w:bCs/>
          <w:iCs/>
          <w:sz w:val="24"/>
          <w:szCs w:val="24"/>
        </w:rPr>
      </w:pPr>
    </w:p>
    <w:p w14:paraId="3142E80F" w14:textId="5BA2C2B2" w:rsidR="009A504C" w:rsidRPr="00D422FD" w:rsidRDefault="009A504C" w:rsidP="009A504C">
      <w:pPr>
        <w:spacing w:line="240" w:lineRule="auto"/>
        <w:contextualSpacing/>
        <w:rPr>
          <w:rFonts w:ascii="Garamond" w:hAnsi="Garamond" w:cs="Times New Roman"/>
          <w:bCs/>
          <w:iCs/>
          <w:sz w:val="24"/>
          <w:szCs w:val="24"/>
        </w:rPr>
      </w:pPr>
      <w:r w:rsidRPr="00FC4FED">
        <w:rPr>
          <w:rFonts w:ascii="Garamond" w:hAnsi="Garamond" w:cs="Times New Roman"/>
          <w:bCs/>
          <w:iCs/>
          <w:sz w:val="24"/>
          <w:szCs w:val="24"/>
        </w:rPr>
        <w:t xml:space="preserve">David Lewis, </w:t>
      </w:r>
      <w:r w:rsidRPr="00FC4FED">
        <w:rPr>
          <w:rFonts w:ascii="Garamond" w:hAnsi="Garamond" w:cs="Times New Roman"/>
          <w:bCs/>
          <w:i/>
          <w:iCs/>
          <w:sz w:val="24"/>
          <w:szCs w:val="24"/>
        </w:rPr>
        <w:t>Counterfactuals</w:t>
      </w:r>
      <w:r w:rsidRPr="00FC4FED">
        <w:rPr>
          <w:rFonts w:ascii="Garamond" w:hAnsi="Garamond" w:cs="Times New Roman"/>
          <w:bCs/>
          <w:iCs/>
          <w:sz w:val="24"/>
          <w:szCs w:val="24"/>
        </w:rPr>
        <w:t xml:space="preserve"> (Oxford: Basil Blackwell, 1973). </w:t>
      </w:r>
    </w:p>
    <w:p w14:paraId="631F4B9D" w14:textId="77777777" w:rsidR="00D02E92" w:rsidRDefault="00D02E92" w:rsidP="001F71B5">
      <w:pPr>
        <w:spacing w:line="240" w:lineRule="auto"/>
        <w:contextualSpacing/>
        <w:rPr>
          <w:rFonts w:ascii="Garamond" w:hAnsi="Garamond" w:cs="Times New Roman"/>
          <w:sz w:val="24"/>
          <w:szCs w:val="24"/>
        </w:rPr>
      </w:pPr>
    </w:p>
    <w:p w14:paraId="3BDE6B00" w14:textId="699338A3" w:rsidR="001F71B5" w:rsidRPr="00581C95" w:rsidRDefault="003426B9" w:rsidP="001F71B5">
      <w:pPr>
        <w:spacing w:line="240" w:lineRule="auto"/>
        <w:contextualSpacing/>
        <w:rPr>
          <w:rFonts w:ascii="Garamond" w:hAnsi="Garamond" w:cs="Times New Roman"/>
          <w:b/>
          <w:bCs/>
          <w:i/>
          <w:iCs/>
          <w:sz w:val="24"/>
          <w:szCs w:val="24"/>
        </w:rPr>
      </w:pPr>
      <w:r w:rsidRPr="00581C95">
        <w:rPr>
          <w:rFonts w:ascii="Garamond" w:hAnsi="Garamond" w:cs="Times New Roman"/>
          <w:b/>
          <w:bCs/>
          <w:i/>
          <w:iCs/>
          <w:sz w:val="24"/>
          <w:szCs w:val="24"/>
        </w:rPr>
        <w:t>How do I write a prospectus?</w:t>
      </w:r>
      <w:r w:rsidR="005B2245" w:rsidRPr="00581C95">
        <w:rPr>
          <w:rFonts w:ascii="Garamond" w:hAnsi="Garamond" w:cs="Times New Roman"/>
          <w:b/>
          <w:bCs/>
          <w:i/>
          <w:iCs/>
          <w:sz w:val="24"/>
          <w:szCs w:val="24"/>
        </w:rPr>
        <w:t xml:space="preserve"> (we will spend most time on this module today)</w:t>
      </w:r>
    </w:p>
    <w:p w14:paraId="71898CDE" w14:textId="77777777" w:rsidR="003426B9" w:rsidRPr="00581C95" w:rsidRDefault="003426B9" w:rsidP="001F71B5">
      <w:pPr>
        <w:spacing w:line="240" w:lineRule="auto"/>
        <w:contextualSpacing/>
        <w:rPr>
          <w:rFonts w:ascii="Garamond" w:hAnsi="Garamond" w:cs="Times New Roman"/>
          <w:b/>
          <w:bCs/>
          <w:i/>
          <w:iCs/>
          <w:sz w:val="24"/>
          <w:szCs w:val="24"/>
        </w:rPr>
      </w:pPr>
    </w:p>
    <w:p w14:paraId="5EBBB3AB" w14:textId="4725E8FF" w:rsidR="001F71B5" w:rsidRPr="00581C95" w:rsidRDefault="00122EAC"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lastRenderedPageBreak/>
        <w:t xml:space="preserve">Gustafsson, Karl, and Linus Hagström. “What Is the Point? Teaching Graduate Students How to Construct Political Science Research Puzzles.” </w:t>
      </w:r>
      <w:r w:rsidRPr="00581C95">
        <w:rPr>
          <w:rFonts w:ascii="Garamond" w:hAnsi="Garamond" w:cs="Times New Roman"/>
          <w:b/>
          <w:bCs/>
          <w:i/>
          <w:iCs/>
          <w:sz w:val="24"/>
          <w:szCs w:val="24"/>
        </w:rPr>
        <w:t>European Political Science</w:t>
      </w:r>
      <w:r w:rsidRPr="00581C95">
        <w:rPr>
          <w:rFonts w:ascii="Garamond" w:hAnsi="Garamond" w:cs="Times New Roman"/>
          <w:b/>
          <w:bCs/>
          <w:sz w:val="24"/>
          <w:szCs w:val="24"/>
        </w:rPr>
        <w:t xml:space="preserve"> 17, no. 4 (Dec</w:t>
      </w:r>
      <w:r w:rsidR="00D422FD">
        <w:rPr>
          <w:rFonts w:ascii="Garamond" w:hAnsi="Garamond" w:cs="Times New Roman"/>
          <w:b/>
          <w:bCs/>
          <w:sz w:val="24"/>
          <w:szCs w:val="24"/>
        </w:rPr>
        <w:t>ember</w:t>
      </w:r>
      <w:r w:rsidRPr="00581C95">
        <w:rPr>
          <w:rFonts w:ascii="Garamond" w:hAnsi="Garamond" w:cs="Times New Roman"/>
          <w:b/>
          <w:bCs/>
          <w:sz w:val="24"/>
          <w:szCs w:val="24"/>
        </w:rPr>
        <w:t xml:space="preserve"> 2018): 634–48.</w:t>
      </w:r>
    </w:p>
    <w:p w14:paraId="49E7F4CD" w14:textId="62A72933" w:rsidR="005B2245" w:rsidRPr="00581C95" w:rsidRDefault="005B2245" w:rsidP="001F71B5">
      <w:pPr>
        <w:spacing w:line="240" w:lineRule="auto"/>
        <w:contextualSpacing/>
        <w:rPr>
          <w:rFonts w:ascii="Garamond" w:hAnsi="Garamond" w:cs="Times New Roman"/>
          <w:b/>
          <w:bCs/>
          <w:sz w:val="24"/>
          <w:szCs w:val="24"/>
        </w:rPr>
      </w:pPr>
    </w:p>
    <w:p w14:paraId="489E9530" w14:textId="339AD29D" w:rsidR="005B2245" w:rsidRPr="00581C95" w:rsidRDefault="005B2245" w:rsidP="005B2245">
      <w:pPr>
        <w:spacing w:line="240" w:lineRule="auto"/>
        <w:contextualSpacing/>
        <w:rPr>
          <w:rFonts w:ascii="Garamond" w:hAnsi="Garamond" w:cs="Times New Roman"/>
          <w:b/>
          <w:bCs/>
          <w:i/>
          <w:iCs/>
          <w:sz w:val="24"/>
          <w:szCs w:val="24"/>
        </w:rPr>
      </w:pPr>
      <w:r w:rsidRPr="00581C95">
        <w:rPr>
          <w:rFonts w:ascii="Garamond" w:hAnsi="Garamond" w:cs="Times New Roman"/>
          <w:b/>
          <w:bCs/>
          <w:sz w:val="24"/>
          <w:szCs w:val="24"/>
        </w:rPr>
        <w:t>Leonard</w:t>
      </w:r>
      <w:r w:rsidR="00DD7B39">
        <w:rPr>
          <w:rFonts w:ascii="Garamond" w:hAnsi="Garamond" w:cs="Times New Roman"/>
          <w:b/>
          <w:bCs/>
          <w:sz w:val="24"/>
          <w:szCs w:val="24"/>
        </w:rPr>
        <w:t xml:space="preserve"> </w:t>
      </w:r>
      <w:r w:rsidR="00DD7B39" w:rsidRPr="00581C95">
        <w:rPr>
          <w:rFonts w:ascii="Garamond" w:hAnsi="Garamond" w:cs="Times New Roman"/>
          <w:b/>
          <w:bCs/>
          <w:sz w:val="24"/>
          <w:szCs w:val="24"/>
        </w:rPr>
        <w:t>Cassuto</w:t>
      </w:r>
      <w:r w:rsidR="00DD7B39">
        <w:rPr>
          <w:rFonts w:ascii="Garamond" w:hAnsi="Garamond" w:cs="Times New Roman"/>
          <w:b/>
          <w:bCs/>
          <w:sz w:val="24"/>
          <w:szCs w:val="24"/>
        </w:rPr>
        <w:t xml:space="preserve">, </w:t>
      </w:r>
      <w:r w:rsidRPr="00581C95">
        <w:rPr>
          <w:rFonts w:ascii="Garamond" w:hAnsi="Garamond" w:cs="Times New Roman"/>
          <w:b/>
          <w:bCs/>
          <w:sz w:val="24"/>
          <w:szCs w:val="24"/>
        </w:rPr>
        <w:t>“Demystifying the Dissertation Proposal</w:t>
      </w:r>
      <w:r w:rsidR="00DD7B39">
        <w:rPr>
          <w:rFonts w:ascii="Garamond" w:hAnsi="Garamond" w:cs="Times New Roman"/>
          <w:b/>
          <w:bCs/>
          <w:sz w:val="24"/>
          <w:szCs w:val="24"/>
        </w:rPr>
        <w:t>,</w:t>
      </w:r>
      <w:r w:rsidRPr="00581C95">
        <w:rPr>
          <w:rFonts w:ascii="Garamond" w:hAnsi="Garamond" w:cs="Times New Roman"/>
          <w:b/>
          <w:bCs/>
          <w:sz w:val="24"/>
          <w:szCs w:val="24"/>
        </w:rPr>
        <w:t>”</w:t>
      </w:r>
      <w:r w:rsidR="00F52019">
        <w:rPr>
          <w:rFonts w:ascii="Garamond" w:hAnsi="Garamond" w:cs="Times New Roman"/>
          <w:b/>
          <w:bCs/>
          <w:sz w:val="24"/>
          <w:szCs w:val="24"/>
        </w:rPr>
        <w:t xml:space="preserve"> </w:t>
      </w:r>
      <w:r w:rsidRPr="00581C95">
        <w:rPr>
          <w:rFonts w:ascii="Garamond" w:hAnsi="Garamond" w:cs="Times New Roman"/>
          <w:b/>
          <w:bCs/>
          <w:i/>
          <w:iCs/>
          <w:sz w:val="24"/>
          <w:szCs w:val="24"/>
        </w:rPr>
        <w:t>The Chronicle of Higher Education</w:t>
      </w:r>
      <w:r w:rsidR="00BE1E5E">
        <w:rPr>
          <w:rFonts w:ascii="Garamond" w:hAnsi="Garamond" w:cs="Times New Roman"/>
          <w:b/>
          <w:bCs/>
          <w:i/>
          <w:iCs/>
          <w:sz w:val="24"/>
          <w:szCs w:val="24"/>
        </w:rPr>
        <w:t xml:space="preserve">, </w:t>
      </w:r>
      <w:r w:rsidR="00F52019">
        <w:rPr>
          <w:rFonts w:ascii="Garamond" w:hAnsi="Garamond" w:cs="Times New Roman"/>
          <w:b/>
          <w:bCs/>
          <w:sz w:val="24"/>
          <w:szCs w:val="24"/>
        </w:rPr>
        <w:t xml:space="preserve">September 11, </w:t>
      </w:r>
      <w:r w:rsidR="00DD7B39" w:rsidRPr="00581C95">
        <w:rPr>
          <w:rFonts w:ascii="Garamond" w:hAnsi="Garamond" w:cs="Times New Roman"/>
          <w:b/>
          <w:bCs/>
          <w:sz w:val="24"/>
          <w:szCs w:val="24"/>
        </w:rPr>
        <w:t>2011</w:t>
      </w:r>
      <w:r w:rsidR="00DD7B39">
        <w:rPr>
          <w:rFonts w:ascii="Garamond" w:hAnsi="Garamond" w:cs="Times New Roman"/>
          <w:b/>
          <w:bCs/>
          <w:sz w:val="24"/>
          <w:szCs w:val="24"/>
        </w:rPr>
        <w:t xml:space="preserve">. </w:t>
      </w:r>
    </w:p>
    <w:p w14:paraId="26A915DB" w14:textId="77777777" w:rsidR="005B2245" w:rsidRPr="00581C95" w:rsidRDefault="005B2245" w:rsidP="005B2245">
      <w:pPr>
        <w:spacing w:line="240" w:lineRule="auto"/>
        <w:contextualSpacing/>
        <w:rPr>
          <w:rFonts w:ascii="Garamond" w:hAnsi="Garamond" w:cs="Times New Roman"/>
          <w:b/>
          <w:bCs/>
          <w:sz w:val="24"/>
          <w:szCs w:val="24"/>
        </w:rPr>
      </w:pPr>
    </w:p>
    <w:p w14:paraId="06CE3DAA" w14:textId="3293AFB6" w:rsidR="005B2245" w:rsidRPr="00581C95" w:rsidRDefault="00F52019" w:rsidP="005B224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J.</w:t>
      </w:r>
      <w:r>
        <w:rPr>
          <w:rFonts w:ascii="Garamond" w:hAnsi="Garamond" w:cs="Times New Roman"/>
          <w:b/>
          <w:bCs/>
          <w:sz w:val="24"/>
          <w:szCs w:val="24"/>
        </w:rPr>
        <w:t xml:space="preserve"> </w:t>
      </w:r>
      <w:r w:rsidR="005B2245" w:rsidRPr="00581C95">
        <w:rPr>
          <w:rFonts w:ascii="Garamond" w:hAnsi="Garamond" w:cs="Times New Roman"/>
          <w:b/>
          <w:bCs/>
          <w:sz w:val="24"/>
          <w:szCs w:val="24"/>
        </w:rPr>
        <w:t>Andrew</w:t>
      </w:r>
      <w:r>
        <w:rPr>
          <w:rFonts w:ascii="Garamond" w:hAnsi="Garamond" w:cs="Times New Roman"/>
          <w:b/>
          <w:bCs/>
          <w:sz w:val="24"/>
          <w:szCs w:val="24"/>
        </w:rPr>
        <w:t>,</w:t>
      </w:r>
      <w:r w:rsidR="005B2245" w:rsidRPr="00581C95">
        <w:rPr>
          <w:rFonts w:ascii="Garamond" w:hAnsi="Garamond" w:cs="Times New Roman"/>
          <w:b/>
          <w:bCs/>
          <w:sz w:val="24"/>
          <w:szCs w:val="24"/>
        </w:rPr>
        <w:t xml:space="preserve"> </w:t>
      </w:r>
      <w:r w:rsidR="005B2245" w:rsidRPr="00581C95">
        <w:rPr>
          <w:rFonts w:ascii="Garamond" w:hAnsi="Garamond" w:cs="Times New Roman"/>
          <w:b/>
          <w:bCs/>
          <w:i/>
          <w:iCs/>
          <w:sz w:val="24"/>
          <w:szCs w:val="24"/>
        </w:rPr>
        <w:t>A Guide to Writing Research Projects in Graduate Political Science Courses</w:t>
      </w:r>
      <w:r>
        <w:rPr>
          <w:rFonts w:ascii="Garamond" w:hAnsi="Garamond" w:cs="Times New Roman"/>
          <w:b/>
          <w:bCs/>
          <w:i/>
          <w:iCs/>
          <w:sz w:val="24"/>
          <w:szCs w:val="24"/>
        </w:rPr>
        <w:t>,</w:t>
      </w:r>
      <w:r w:rsidR="005B2245" w:rsidRPr="00581C95">
        <w:rPr>
          <w:rFonts w:ascii="Garamond" w:hAnsi="Garamond" w:cs="Times New Roman"/>
          <w:b/>
          <w:bCs/>
          <w:sz w:val="24"/>
          <w:szCs w:val="24"/>
        </w:rPr>
        <w:t xml:space="preserve"> </w:t>
      </w:r>
      <w:r>
        <w:rPr>
          <w:rFonts w:ascii="Garamond" w:hAnsi="Garamond" w:cs="Times New Roman"/>
          <w:b/>
          <w:bCs/>
          <w:sz w:val="24"/>
          <w:szCs w:val="24"/>
        </w:rPr>
        <w:t>(</w:t>
      </w:r>
      <w:r w:rsidR="005B2245" w:rsidRPr="00581C95">
        <w:rPr>
          <w:rFonts w:ascii="Garamond" w:hAnsi="Garamond" w:cs="Times New Roman"/>
          <w:b/>
          <w:bCs/>
          <w:sz w:val="24"/>
          <w:szCs w:val="24"/>
        </w:rPr>
        <w:t>Denton, TX: University of North Texas</w:t>
      </w:r>
      <w:r>
        <w:rPr>
          <w:rFonts w:ascii="Garamond" w:hAnsi="Garamond" w:cs="Times New Roman"/>
          <w:b/>
          <w:bCs/>
          <w:sz w:val="24"/>
          <w:szCs w:val="24"/>
        </w:rPr>
        <w:t xml:space="preserve">, </w:t>
      </w:r>
      <w:r w:rsidRPr="00581C95">
        <w:rPr>
          <w:rFonts w:ascii="Garamond" w:hAnsi="Garamond" w:cs="Times New Roman"/>
          <w:b/>
          <w:bCs/>
          <w:sz w:val="24"/>
          <w:szCs w:val="24"/>
        </w:rPr>
        <w:t>2007</w:t>
      </w:r>
      <w:r>
        <w:rPr>
          <w:rFonts w:ascii="Garamond" w:hAnsi="Garamond" w:cs="Times New Roman"/>
          <w:b/>
          <w:bCs/>
          <w:sz w:val="24"/>
          <w:szCs w:val="24"/>
        </w:rPr>
        <w:t>)</w:t>
      </w:r>
      <w:r w:rsidR="005B2245" w:rsidRPr="00581C95">
        <w:rPr>
          <w:rFonts w:ascii="Garamond" w:hAnsi="Garamond" w:cs="Times New Roman"/>
          <w:b/>
          <w:bCs/>
          <w:sz w:val="24"/>
          <w:szCs w:val="24"/>
        </w:rPr>
        <w:t xml:space="preserve">. </w:t>
      </w:r>
    </w:p>
    <w:p w14:paraId="7DB4F06A" w14:textId="77777777" w:rsidR="000362FF" w:rsidRPr="00581C95" w:rsidRDefault="000362FF" w:rsidP="005B2245">
      <w:pPr>
        <w:spacing w:line="240" w:lineRule="auto"/>
        <w:contextualSpacing/>
        <w:rPr>
          <w:rFonts w:ascii="Garamond" w:hAnsi="Garamond" w:cs="Times New Roman"/>
          <w:b/>
          <w:bCs/>
          <w:sz w:val="24"/>
          <w:szCs w:val="24"/>
        </w:rPr>
      </w:pPr>
    </w:p>
    <w:p w14:paraId="31205376" w14:textId="66C8AEFC" w:rsidR="005B2245" w:rsidRPr="00581C95" w:rsidRDefault="005B2245" w:rsidP="005B224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Elizabeth</w:t>
      </w:r>
      <w:r w:rsidR="00C924BB">
        <w:rPr>
          <w:rFonts w:ascii="Garamond" w:hAnsi="Garamond" w:cs="Times New Roman"/>
          <w:b/>
          <w:bCs/>
          <w:sz w:val="24"/>
          <w:szCs w:val="24"/>
        </w:rPr>
        <w:t xml:space="preserve"> </w:t>
      </w:r>
      <w:r w:rsidR="00C924BB" w:rsidRPr="00581C95">
        <w:rPr>
          <w:rFonts w:ascii="Garamond" w:hAnsi="Garamond" w:cs="Times New Roman"/>
          <w:b/>
          <w:bCs/>
          <w:sz w:val="24"/>
          <w:szCs w:val="24"/>
        </w:rPr>
        <w:t>Ferry</w:t>
      </w:r>
      <w:r w:rsidR="00C924BB">
        <w:rPr>
          <w:rFonts w:ascii="Garamond" w:hAnsi="Garamond" w:cs="Times New Roman"/>
          <w:b/>
          <w:bCs/>
          <w:sz w:val="24"/>
          <w:szCs w:val="24"/>
        </w:rPr>
        <w:t xml:space="preserve">, </w:t>
      </w:r>
      <w:r w:rsidRPr="00581C95">
        <w:rPr>
          <w:rFonts w:ascii="Garamond" w:hAnsi="Garamond" w:cs="Times New Roman"/>
          <w:b/>
          <w:bCs/>
          <w:i/>
          <w:iCs/>
          <w:sz w:val="24"/>
          <w:szCs w:val="24"/>
        </w:rPr>
        <w:t>So You Have to Write a Dissertation Proposal? Some Thoughts on How to Keep from Being Overwhelmed and Move Steadily Towards Your Goal</w:t>
      </w:r>
      <w:r w:rsidRPr="00581C95">
        <w:rPr>
          <w:rFonts w:ascii="Garamond" w:hAnsi="Garamond" w:cs="Times New Roman"/>
          <w:b/>
          <w:bCs/>
          <w:sz w:val="24"/>
          <w:szCs w:val="24"/>
        </w:rPr>
        <w:t xml:space="preserve"> </w:t>
      </w:r>
      <w:r w:rsidR="00C924BB">
        <w:rPr>
          <w:rFonts w:ascii="Garamond" w:hAnsi="Garamond" w:cs="Times New Roman"/>
          <w:b/>
          <w:bCs/>
          <w:sz w:val="24"/>
          <w:szCs w:val="24"/>
        </w:rPr>
        <w:t>(</w:t>
      </w:r>
      <w:r w:rsidRPr="00581C95">
        <w:rPr>
          <w:rFonts w:ascii="Garamond" w:hAnsi="Garamond" w:cs="Times New Roman"/>
          <w:b/>
          <w:bCs/>
          <w:sz w:val="24"/>
          <w:szCs w:val="24"/>
        </w:rPr>
        <w:t>Waltham, MA: Department of Anthropology, Brandeis University</w:t>
      </w:r>
      <w:r w:rsidR="00C924BB">
        <w:rPr>
          <w:rFonts w:ascii="Garamond" w:hAnsi="Garamond" w:cs="Times New Roman"/>
          <w:b/>
          <w:bCs/>
          <w:sz w:val="24"/>
          <w:szCs w:val="24"/>
        </w:rPr>
        <w:t>, 2008)</w:t>
      </w:r>
      <w:r w:rsidRPr="00581C95">
        <w:rPr>
          <w:rFonts w:ascii="Garamond" w:hAnsi="Garamond" w:cs="Times New Roman"/>
          <w:b/>
          <w:bCs/>
          <w:sz w:val="24"/>
          <w:szCs w:val="24"/>
        </w:rPr>
        <w:t xml:space="preserve">. </w:t>
      </w:r>
    </w:p>
    <w:p w14:paraId="7B8E33E5" w14:textId="1969D4BA" w:rsidR="00122EAC" w:rsidRPr="00581C95" w:rsidRDefault="00122EAC" w:rsidP="001F71B5">
      <w:pPr>
        <w:spacing w:line="240" w:lineRule="auto"/>
        <w:contextualSpacing/>
        <w:rPr>
          <w:rFonts w:ascii="Garamond" w:hAnsi="Garamond" w:cs="Times New Roman"/>
          <w:b/>
          <w:bCs/>
          <w:sz w:val="24"/>
          <w:szCs w:val="24"/>
        </w:rPr>
      </w:pPr>
    </w:p>
    <w:p w14:paraId="0C1292DB" w14:textId="140E2EEB" w:rsidR="00122EAC" w:rsidRPr="00581C95" w:rsidRDefault="00122EAC" w:rsidP="001F71B5">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Sample prospect</w:t>
      </w:r>
      <w:r w:rsidR="000362FF" w:rsidRPr="00581C95">
        <w:rPr>
          <w:rFonts w:ascii="Garamond" w:hAnsi="Garamond" w:cs="Times New Roman"/>
          <w:b/>
          <w:bCs/>
          <w:sz w:val="24"/>
          <w:szCs w:val="24"/>
        </w:rPr>
        <w:t>i</w:t>
      </w:r>
    </w:p>
    <w:p w14:paraId="73B88FFD" w14:textId="0A78C271" w:rsidR="004D5086" w:rsidRDefault="004D5086" w:rsidP="001F71B5">
      <w:pPr>
        <w:spacing w:line="240" w:lineRule="auto"/>
        <w:contextualSpacing/>
        <w:rPr>
          <w:rFonts w:ascii="Garamond" w:hAnsi="Garamond" w:cs="Times New Roman"/>
          <w:sz w:val="24"/>
          <w:szCs w:val="24"/>
        </w:rPr>
      </w:pPr>
    </w:p>
    <w:p w14:paraId="55C82152" w14:textId="0E71B0EF" w:rsidR="004D5086" w:rsidRDefault="004D5086" w:rsidP="001F71B5">
      <w:pPr>
        <w:spacing w:line="240" w:lineRule="auto"/>
        <w:contextualSpacing/>
        <w:rPr>
          <w:rFonts w:ascii="Garamond" w:hAnsi="Garamond" w:cs="Times New Roman"/>
          <w:sz w:val="24"/>
          <w:szCs w:val="24"/>
        </w:rPr>
      </w:pPr>
      <w:r>
        <w:rPr>
          <w:rFonts w:ascii="Garamond" w:hAnsi="Garamond" w:cs="Times New Roman"/>
          <w:sz w:val="24"/>
          <w:szCs w:val="24"/>
        </w:rPr>
        <w:t>OPTIONAL:</w:t>
      </w:r>
    </w:p>
    <w:p w14:paraId="3A9D70B4" w14:textId="44F985DA" w:rsidR="004D5086" w:rsidRDefault="004D5086" w:rsidP="001F71B5">
      <w:pPr>
        <w:spacing w:line="240" w:lineRule="auto"/>
        <w:contextualSpacing/>
        <w:rPr>
          <w:rFonts w:ascii="Garamond" w:hAnsi="Garamond" w:cs="Times New Roman"/>
          <w:sz w:val="24"/>
          <w:szCs w:val="24"/>
        </w:rPr>
      </w:pPr>
    </w:p>
    <w:p w14:paraId="3390DB95" w14:textId="46E63FC4" w:rsidR="004D5086" w:rsidRDefault="004D5086" w:rsidP="001F71B5">
      <w:pPr>
        <w:spacing w:line="240" w:lineRule="auto"/>
        <w:contextualSpacing/>
        <w:rPr>
          <w:rFonts w:ascii="Garamond" w:hAnsi="Garamond" w:cs="Times New Roman"/>
          <w:sz w:val="24"/>
          <w:szCs w:val="24"/>
        </w:rPr>
      </w:pPr>
      <w:r>
        <w:rPr>
          <w:rFonts w:ascii="Garamond" w:hAnsi="Garamond" w:cs="Times New Roman"/>
          <w:sz w:val="24"/>
          <w:szCs w:val="24"/>
        </w:rPr>
        <w:t xml:space="preserve">William P. Germano, </w:t>
      </w:r>
      <w:r>
        <w:rPr>
          <w:rFonts w:ascii="Garamond" w:hAnsi="Garamond" w:cs="Times New Roman"/>
          <w:i/>
          <w:iCs/>
          <w:sz w:val="24"/>
          <w:szCs w:val="24"/>
        </w:rPr>
        <w:t>From Dissertation to Book</w:t>
      </w:r>
      <w:r>
        <w:rPr>
          <w:rFonts w:ascii="Garamond" w:hAnsi="Garamond" w:cs="Times New Roman"/>
          <w:sz w:val="24"/>
          <w:szCs w:val="24"/>
        </w:rPr>
        <w:t xml:space="preserve">, </w:t>
      </w:r>
      <w:r w:rsidR="00D522BC">
        <w:rPr>
          <w:rFonts w:ascii="Garamond" w:hAnsi="Garamond" w:cs="Times New Roman"/>
          <w:sz w:val="24"/>
          <w:szCs w:val="24"/>
        </w:rPr>
        <w:t>(</w:t>
      </w:r>
      <w:r>
        <w:rPr>
          <w:rFonts w:ascii="Garamond" w:hAnsi="Garamond" w:cs="Times New Roman"/>
          <w:sz w:val="24"/>
          <w:szCs w:val="24"/>
        </w:rPr>
        <w:t>Chicago: University of Chicago press, 2013</w:t>
      </w:r>
      <w:r w:rsidR="00D522BC">
        <w:rPr>
          <w:rFonts w:ascii="Garamond" w:hAnsi="Garamond" w:cs="Times New Roman"/>
          <w:sz w:val="24"/>
          <w:szCs w:val="24"/>
        </w:rPr>
        <w:t>).</w:t>
      </w:r>
    </w:p>
    <w:p w14:paraId="5942DA94" w14:textId="77777777" w:rsidR="001B1C19" w:rsidRDefault="001B1C19" w:rsidP="001F71B5">
      <w:pPr>
        <w:spacing w:line="240" w:lineRule="auto"/>
        <w:contextualSpacing/>
        <w:rPr>
          <w:rFonts w:ascii="Garamond" w:hAnsi="Garamond" w:cs="Times New Roman"/>
          <w:sz w:val="24"/>
          <w:szCs w:val="24"/>
        </w:rPr>
      </w:pPr>
    </w:p>
    <w:p w14:paraId="76B182F9" w14:textId="77777777" w:rsidR="00122EAC" w:rsidRDefault="00122EAC" w:rsidP="001F71B5">
      <w:pPr>
        <w:spacing w:line="240" w:lineRule="auto"/>
        <w:contextualSpacing/>
        <w:rPr>
          <w:rFonts w:ascii="Garamond" w:hAnsi="Garamond" w:cs="Times New Roman"/>
          <w:sz w:val="24"/>
          <w:szCs w:val="24"/>
        </w:rPr>
      </w:pPr>
    </w:p>
    <w:p w14:paraId="58C3BBBA" w14:textId="77777777" w:rsidR="00087827" w:rsidRDefault="00087827" w:rsidP="00087827">
      <w:pPr>
        <w:spacing w:line="240" w:lineRule="auto"/>
        <w:contextualSpacing/>
        <w:rPr>
          <w:rFonts w:ascii="Garamond" w:hAnsi="Garamond" w:cs="Times New Roman"/>
          <w:b/>
          <w:i/>
          <w:sz w:val="24"/>
          <w:szCs w:val="24"/>
        </w:rPr>
      </w:pPr>
      <w:r>
        <w:rPr>
          <w:rFonts w:ascii="Garamond" w:hAnsi="Garamond" w:cs="Times New Roman"/>
          <w:b/>
          <w:i/>
          <w:sz w:val="24"/>
          <w:szCs w:val="24"/>
        </w:rPr>
        <w:t xml:space="preserve">April 10: </w:t>
      </w:r>
    </w:p>
    <w:p w14:paraId="43E7A6CD" w14:textId="48BDAB08" w:rsidR="003426B9" w:rsidRDefault="003426B9" w:rsidP="001F71B5">
      <w:pPr>
        <w:spacing w:line="240" w:lineRule="auto"/>
        <w:contextualSpacing/>
        <w:rPr>
          <w:rFonts w:ascii="Garamond" w:hAnsi="Garamond" w:cs="Times New Roman"/>
          <w:b/>
          <w:i/>
          <w:sz w:val="24"/>
          <w:szCs w:val="24"/>
        </w:rPr>
      </w:pPr>
    </w:p>
    <w:p w14:paraId="16C13136" w14:textId="5164BC5F" w:rsidR="00BA4DAD" w:rsidRPr="00581C95" w:rsidRDefault="00BA4DAD" w:rsidP="00BA4DAD">
      <w:pPr>
        <w:spacing w:line="240" w:lineRule="auto"/>
        <w:contextualSpacing/>
        <w:rPr>
          <w:rFonts w:ascii="Garamond" w:hAnsi="Garamond" w:cs="Times New Roman"/>
          <w:b/>
          <w:bCs/>
          <w:i/>
          <w:iCs/>
          <w:sz w:val="24"/>
          <w:szCs w:val="24"/>
        </w:rPr>
      </w:pPr>
      <w:r w:rsidRPr="00581C95">
        <w:rPr>
          <w:rFonts w:ascii="Garamond" w:hAnsi="Garamond" w:cs="Times New Roman"/>
          <w:b/>
          <w:bCs/>
          <w:i/>
          <w:iCs/>
          <w:sz w:val="24"/>
          <w:szCs w:val="24"/>
        </w:rPr>
        <w:t>Complex systems</w:t>
      </w:r>
      <w:r w:rsidR="00B55323" w:rsidRPr="00581C95">
        <w:rPr>
          <w:rFonts w:ascii="Garamond" w:hAnsi="Garamond" w:cs="Times New Roman"/>
          <w:b/>
          <w:bCs/>
          <w:i/>
          <w:iCs/>
          <w:sz w:val="24"/>
          <w:szCs w:val="24"/>
        </w:rPr>
        <w:t>, contingency,</w:t>
      </w:r>
      <w:r w:rsidR="00F8145C" w:rsidRPr="00581C95">
        <w:rPr>
          <w:rFonts w:ascii="Garamond" w:hAnsi="Garamond" w:cs="Times New Roman"/>
          <w:b/>
          <w:bCs/>
          <w:i/>
          <w:iCs/>
          <w:sz w:val="24"/>
          <w:szCs w:val="24"/>
        </w:rPr>
        <w:t xml:space="preserve"> mid-range theories</w:t>
      </w:r>
      <w:r w:rsidR="009C06FD">
        <w:rPr>
          <w:rFonts w:ascii="Garamond" w:hAnsi="Garamond" w:cs="Times New Roman"/>
          <w:b/>
          <w:bCs/>
          <w:i/>
          <w:iCs/>
          <w:sz w:val="24"/>
          <w:szCs w:val="24"/>
        </w:rPr>
        <w:t>,</w:t>
      </w:r>
      <w:r w:rsidR="00B55323" w:rsidRPr="00581C95">
        <w:rPr>
          <w:rFonts w:ascii="Garamond" w:hAnsi="Garamond" w:cs="Times New Roman"/>
          <w:b/>
          <w:bCs/>
          <w:i/>
          <w:iCs/>
          <w:sz w:val="24"/>
          <w:szCs w:val="24"/>
        </w:rPr>
        <w:t xml:space="preserve"> and analytic eclecticism</w:t>
      </w:r>
    </w:p>
    <w:p w14:paraId="01D5F9F9" w14:textId="08E385F9" w:rsidR="00B55323" w:rsidRPr="00581C95" w:rsidRDefault="00B55323" w:rsidP="00BA4DAD">
      <w:pPr>
        <w:spacing w:line="240" w:lineRule="auto"/>
        <w:contextualSpacing/>
        <w:rPr>
          <w:rFonts w:ascii="Garamond" w:hAnsi="Garamond" w:cs="Times New Roman"/>
          <w:b/>
          <w:bCs/>
          <w:i/>
          <w:iCs/>
          <w:sz w:val="24"/>
          <w:szCs w:val="24"/>
        </w:rPr>
      </w:pPr>
    </w:p>
    <w:p w14:paraId="1B976400" w14:textId="0323ECCF" w:rsidR="00B55323" w:rsidRPr="00581C95" w:rsidRDefault="00443DDC" w:rsidP="00BA4DAD">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Jonathan Kirshner, </w:t>
      </w:r>
      <w:r w:rsidRPr="00581C95">
        <w:rPr>
          <w:rFonts w:ascii="Garamond" w:hAnsi="Garamond" w:cs="Times New Roman"/>
          <w:b/>
          <w:bCs/>
          <w:i/>
          <w:iCs/>
          <w:sz w:val="24"/>
          <w:szCs w:val="24"/>
        </w:rPr>
        <w:t>An Unwritten Future: Realism and Uncertainty in World Politics</w:t>
      </w:r>
      <w:r w:rsidRPr="00581C95">
        <w:rPr>
          <w:rFonts w:ascii="Garamond" w:hAnsi="Garamond" w:cs="Times New Roman"/>
          <w:b/>
          <w:bCs/>
          <w:sz w:val="24"/>
          <w:szCs w:val="24"/>
        </w:rPr>
        <w:t xml:space="preserve"> (Princeton, NJ: Princeton University Press, 2022), 1</w:t>
      </w:r>
      <w:r w:rsidR="00BE1E5E">
        <w:rPr>
          <w:rFonts w:ascii="Garamond" w:hAnsi="Garamond" w:cs="Times New Roman"/>
          <w:b/>
          <w:bCs/>
          <w:sz w:val="24"/>
          <w:szCs w:val="24"/>
        </w:rPr>
        <w:t>–</w:t>
      </w:r>
      <w:r w:rsidRPr="00581C95">
        <w:rPr>
          <w:rFonts w:ascii="Garamond" w:hAnsi="Garamond" w:cs="Times New Roman"/>
          <w:b/>
          <w:bCs/>
          <w:sz w:val="24"/>
          <w:szCs w:val="24"/>
        </w:rPr>
        <w:t>11, 43</w:t>
      </w:r>
      <w:r w:rsidR="00BE1E5E">
        <w:rPr>
          <w:rFonts w:ascii="Garamond" w:hAnsi="Garamond" w:cs="Times New Roman"/>
          <w:b/>
          <w:bCs/>
          <w:sz w:val="24"/>
          <w:szCs w:val="24"/>
        </w:rPr>
        <w:t>–</w:t>
      </w:r>
      <w:r w:rsidRPr="00581C95">
        <w:rPr>
          <w:rFonts w:ascii="Garamond" w:hAnsi="Garamond" w:cs="Times New Roman"/>
          <w:b/>
          <w:bCs/>
          <w:sz w:val="24"/>
          <w:szCs w:val="24"/>
        </w:rPr>
        <w:t>80</w:t>
      </w:r>
      <w:r w:rsidR="00BE1E5E">
        <w:rPr>
          <w:rFonts w:ascii="Garamond" w:hAnsi="Garamond" w:cs="Times New Roman"/>
          <w:b/>
          <w:bCs/>
          <w:sz w:val="24"/>
          <w:szCs w:val="24"/>
        </w:rPr>
        <w:t>.</w:t>
      </w:r>
    </w:p>
    <w:p w14:paraId="484D048F" w14:textId="070C9866" w:rsidR="00443DDC" w:rsidRPr="00581C95" w:rsidRDefault="00443DDC" w:rsidP="00BA4DAD">
      <w:pPr>
        <w:spacing w:line="240" w:lineRule="auto"/>
        <w:contextualSpacing/>
        <w:rPr>
          <w:rFonts w:ascii="Garamond" w:hAnsi="Garamond" w:cs="Times New Roman"/>
          <w:b/>
          <w:bCs/>
          <w:sz w:val="24"/>
          <w:szCs w:val="24"/>
        </w:rPr>
      </w:pPr>
    </w:p>
    <w:p w14:paraId="0016A968" w14:textId="6D780E1B" w:rsidR="00443DDC" w:rsidRPr="00581C95" w:rsidRDefault="00443DDC" w:rsidP="00443DDC">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James Mahoney and Richard Snyder, “Rethinking Agency and Structure in the Study of Regime Change,” </w:t>
      </w:r>
      <w:r w:rsidRPr="00581C95">
        <w:rPr>
          <w:rFonts w:ascii="Garamond" w:hAnsi="Garamond" w:cs="Times New Roman"/>
          <w:b/>
          <w:bCs/>
          <w:i/>
          <w:iCs/>
          <w:sz w:val="24"/>
          <w:szCs w:val="24"/>
        </w:rPr>
        <w:t>Studies in Comparative International Development</w:t>
      </w:r>
      <w:r w:rsidRPr="00581C95">
        <w:rPr>
          <w:rFonts w:ascii="Garamond" w:hAnsi="Garamond" w:cs="Times New Roman"/>
          <w:b/>
          <w:bCs/>
          <w:sz w:val="24"/>
          <w:szCs w:val="24"/>
        </w:rPr>
        <w:t xml:space="preserve"> 34, no. 2 (1999): 3–32.</w:t>
      </w:r>
    </w:p>
    <w:p w14:paraId="31C209CF" w14:textId="7BFF2888" w:rsidR="00443DDC" w:rsidRPr="00581C95" w:rsidRDefault="00443DDC" w:rsidP="00443DDC">
      <w:pPr>
        <w:spacing w:line="240" w:lineRule="auto"/>
        <w:contextualSpacing/>
        <w:rPr>
          <w:rFonts w:ascii="Garamond" w:hAnsi="Garamond" w:cs="Times New Roman"/>
          <w:b/>
          <w:bCs/>
          <w:sz w:val="24"/>
          <w:szCs w:val="24"/>
        </w:rPr>
      </w:pPr>
    </w:p>
    <w:p w14:paraId="06C2DD8D" w14:textId="009A487E" w:rsidR="00443DDC" w:rsidRPr="00581C95" w:rsidRDefault="00443DDC" w:rsidP="00443DDC">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Richard Ned Lebow, “Contingency, Catalysts, and International System Change,” </w:t>
      </w:r>
      <w:r w:rsidRPr="00581C95">
        <w:rPr>
          <w:rFonts w:ascii="Garamond" w:hAnsi="Garamond" w:cs="Times New Roman"/>
          <w:b/>
          <w:bCs/>
          <w:i/>
          <w:iCs/>
          <w:sz w:val="24"/>
          <w:szCs w:val="24"/>
        </w:rPr>
        <w:t>Political Science Quarterly</w:t>
      </w:r>
      <w:r w:rsidRPr="00581C95">
        <w:rPr>
          <w:rFonts w:ascii="Garamond" w:hAnsi="Garamond" w:cs="Times New Roman"/>
          <w:b/>
          <w:bCs/>
          <w:sz w:val="24"/>
          <w:szCs w:val="24"/>
        </w:rPr>
        <w:t xml:space="preserve"> 115, no. 4 (December 2000): 591–616.</w:t>
      </w:r>
    </w:p>
    <w:p w14:paraId="093F2446" w14:textId="565F5324" w:rsidR="00443DDC" w:rsidRPr="00581C95" w:rsidRDefault="00443DDC" w:rsidP="00BA4DAD">
      <w:pPr>
        <w:spacing w:line="240" w:lineRule="auto"/>
        <w:contextualSpacing/>
        <w:rPr>
          <w:rFonts w:ascii="Garamond" w:hAnsi="Garamond" w:cs="Times New Roman"/>
          <w:b/>
          <w:bCs/>
          <w:sz w:val="24"/>
          <w:szCs w:val="24"/>
        </w:rPr>
      </w:pPr>
    </w:p>
    <w:p w14:paraId="47B109E9" w14:textId="1B735AAD" w:rsidR="00443DDC" w:rsidRPr="00581C95" w:rsidRDefault="00443DDC" w:rsidP="00443DDC">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Robert Jervis, </w:t>
      </w:r>
      <w:r w:rsidRPr="00581C95">
        <w:rPr>
          <w:rFonts w:ascii="Garamond" w:hAnsi="Garamond" w:cs="Times New Roman"/>
          <w:b/>
          <w:bCs/>
          <w:i/>
          <w:iCs/>
          <w:sz w:val="24"/>
          <w:szCs w:val="24"/>
        </w:rPr>
        <w:t>System Effects: Complexity in Political and Social Life</w:t>
      </w:r>
      <w:r w:rsidRPr="00581C95">
        <w:rPr>
          <w:rFonts w:ascii="Garamond" w:hAnsi="Garamond" w:cs="Times New Roman"/>
          <w:b/>
          <w:bCs/>
          <w:sz w:val="24"/>
          <w:szCs w:val="24"/>
        </w:rPr>
        <w:t xml:space="preserve"> (Princeton</w:t>
      </w:r>
      <w:r w:rsidR="00AF51A4">
        <w:rPr>
          <w:rFonts w:ascii="Garamond" w:hAnsi="Garamond" w:cs="Times New Roman"/>
          <w:b/>
          <w:bCs/>
          <w:sz w:val="24"/>
          <w:szCs w:val="24"/>
        </w:rPr>
        <w:t>,</w:t>
      </w:r>
      <w:r w:rsidR="00BE1E5E">
        <w:rPr>
          <w:rFonts w:ascii="Garamond" w:hAnsi="Garamond" w:cs="Times New Roman"/>
          <w:b/>
          <w:bCs/>
          <w:sz w:val="24"/>
          <w:szCs w:val="24"/>
        </w:rPr>
        <w:t xml:space="preserve"> NJ</w:t>
      </w:r>
      <w:r w:rsidRPr="00581C95">
        <w:rPr>
          <w:rFonts w:ascii="Garamond" w:hAnsi="Garamond" w:cs="Times New Roman"/>
          <w:b/>
          <w:bCs/>
          <w:sz w:val="24"/>
          <w:szCs w:val="24"/>
        </w:rPr>
        <w:t>: Princeton University Press, 1997), 3</w:t>
      </w:r>
      <w:r w:rsidR="00BE1E5E">
        <w:rPr>
          <w:rFonts w:ascii="Garamond" w:hAnsi="Garamond" w:cs="Times New Roman"/>
          <w:b/>
          <w:bCs/>
          <w:sz w:val="24"/>
          <w:szCs w:val="24"/>
        </w:rPr>
        <w:t>–</w:t>
      </w:r>
      <w:r w:rsidRPr="00581C95">
        <w:rPr>
          <w:rFonts w:ascii="Garamond" w:hAnsi="Garamond" w:cs="Times New Roman"/>
          <w:b/>
          <w:bCs/>
          <w:sz w:val="24"/>
          <w:szCs w:val="24"/>
        </w:rPr>
        <w:t>91</w:t>
      </w:r>
      <w:r w:rsidR="00BE1E5E">
        <w:rPr>
          <w:rFonts w:ascii="Garamond" w:hAnsi="Garamond" w:cs="Times New Roman"/>
          <w:b/>
          <w:bCs/>
          <w:sz w:val="24"/>
          <w:szCs w:val="24"/>
        </w:rPr>
        <w:t>.</w:t>
      </w:r>
    </w:p>
    <w:p w14:paraId="37222E55" w14:textId="35583C76" w:rsidR="00F8145C" w:rsidRPr="00581C95" w:rsidRDefault="00F8145C" w:rsidP="00443DDC">
      <w:pPr>
        <w:spacing w:line="240" w:lineRule="auto"/>
        <w:contextualSpacing/>
        <w:rPr>
          <w:rFonts w:ascii="Garamond" w:hAnsi="Garamond" w:cs="Times New Roman"/>
          <w:b/>
          <w:bCs/>
          <w:sz w:val="24"/>
          <w:szCs w:val="24"/>
        </w:rPr>
      </w:pPr>
    </w:p>
    <w:p w14:paraId="48F269D8" w14:textId="77777777" w:rsidR="00F8145C" w:rsidRPr="00581C95" w:rsidRDefault="00F8145C" w:rsidP="00F8145C">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Patrick Thaddeus Jackson and Daniel H. Nexon, “International Theory in a Post-Paradigmatic Era: From Substantive Wagers to Scientific Ontologies,” </w:t>
      </w:r>
      <w:r w:rsidRPr="00581C95">
        <w:rPr>
          <w:rFonts w:ascii="Garamond" w:hAnsi="Garamond" w:cs="Times New Roman"/>
          <w:b/>
          <w:bCs/>
          <w:i/>
          <w:iCs/>
          <w:sz w:val="24"/>
          <w:szCs w:val="24"/>
        </w:rPr>
        <w:t>European Journal of International Relations</w:t>
      </w:r>
      <w:r w:rsidRPr="00581C95">
        <w:rPr>
          <w:rFonts w:ascii="Garamond" w:hAnsi="Garamond" w:cs="Times New Roman"/>
          <w:b/>
          <w:bCs/>
          <w:sz w:val="24"/>
          <w:szCs w:val="24"/>
        </w:rPr>
        <w:t xml:space="preserve"> 19, no. 3 (September 1, 2013): 543–65.</w:t>
      </w:r>
    </w:p>
    <w:p w14:paraId="22057162" w14:textId="65ECEE12" w:rsidR="00443DDC" w:rsidRPr="00581C95" w:rsidRDefault="00443DDC" w:rsidP="00BA4DAD">
      <w:pPr>
        <w:spacing w:line="240" w:lineRule="auto"/>
        <w:contextualSpacing/>
        <w:rPr>
          <w:rFonts w:ascii="Garamond" w:hAnsi="Garamond" w:cs="Times New Roman"/>
          <w:b/>
          <w:bCs/>
          <w:sz w:val="24"/>
          <w:szCs w:val="24"/>
        </w:rPr>
      </w:pPr>
    </w:p>
    <w:p w14:paraId="357EB283" w14:textId="77777777" w:rsidR="00443DDC" w:rsidRPr="00581C95" w:rsidRDefault="00443DDC" w:rsidP="00443DDC">
      <w:pPr>
        <w:spacing w:line="240" w:lineRule="auto"/>
        <w:contextualSpacing/>
        <w:rPr>
          <w:rFonts w:ascii="Garamond" w:hAnsi="Garamond" w:cs="Times New Roman"/>
          <w:b/>
          <w:bCs/>
          <w:sz w:val="24"/>
          <w:szCs w:val="24"/>
        </w:rPr>
      </w:pPr>
      <w:r w:rsidRPr="00581C95">
        <w:rPr>
          <w:rFonts w:ascii="Garamond" w:hAnsi="Garamond" w:cs="Times New Roman"/>
          <w:b/>
          <w:bCs/>
          <w:sz w:val="24"/>
          <w:szCs w:val="24"/>
        </w:rPr>
        <w:t xml:space="preserve">Rudra Sil and Peter J. Katzenstein, “Analytic Eclecticism in the Study of World Politics: Reconfiguring Problems and Mechanisms across Research Traditions,” </w:t>
      </w:r>
      <w:r w:rsidRPr="00581C95">
        <w:rPr>
          <w:rFonts w:ascii="Garamond" w:hAnsi="Garamond" w:cs="Times New Roman"/>
          <w:b/>
          <w:bCs/>
          <w:i/>
          <w:iCs/>
          <w:sz w:val="24"/>
          <w:szCs w:val="24"/>
        </w:rPr>
        <w:t>Perspectives on Politics</w:t>
      </w:r>
      <w:r w:rsidRPr="00581C95">
        <w:rPr>
          <w:rFonts w:ascii="Garamond" w:hAnsi="Garamond" w:cs="Times New Roman"/>
          <w:b/>
          <w:bCs/>
          <w:sz w:val="24"/>
          <w:szCs w:val="24"/>
        </w:rPr>
        <w:t xml:space="preserve"> 8, no. 2 (2010): 411–31.</w:t>
      </w:r>
    </w:p>
    <w:p w14:paraId="73D5137A" w14:textId="505918D2" w:rsidR="00443DDC" w:rsidRDefault="00443DDC" w:rsidP="00BA4DAD">
      <w:pPr>
        <w:spacing w:line="240" w:lineRule="auto"/>
        <w:contextualSpacing/>
        <w:rPr>
          <w:rFonts w:ascii="Garamond" w:hAnsi="Garamond" w:cs="Times New Roman"/>
          <w:sz w:val="24"/>
          <w:szCs w:val="24"/>
        </w:rPr>
      </w:pPr>
    </w:p>
    <w:p w14:paraId="051A0C15" w14:textId="2AC99620" w:rsidR="00443DDC" w:rsidRDefault="00443DDC" w:rsidP="00BA4DAD">
      <w:pPr>
        <w:spacing w:line="240" w:lineRule="auto"/>
        <w:contextualSpacing/>
        <w:rPr>
          <w:rFonts w:ascii="Garamond" w:hAnsi="Garamond" w:cs="Times New Roman"/>
          <w:sz w:val="24"/>
          <w:szCs w:val="24"/>
        </w:rPr>
      </w:pPr>
      <w:r>
        <w:rPr>
          <w:rFonts w:ascii="Garamond" w:hAnsi="Garamond" w:cs="Times New Roman"/>
          <w:sz w:val="24"/>
          <w:szCs w:val="24"/>
        </w:rPr>
        <w:t>OPTIONAL:</w:t>
      </w:r>
    </w:p>
    <w:p w14:paraId="1291057F" w14:textId="608C91A2" w:rsidR="00443DDC" w:rsidRDefault="00443DDC" w:rsidP="00BA4DAD">
      <w:pPr>
        <w:spacing w:line="240" w:lineRule="auto"/>
        <w:contextualSpacing/>
        <w:rPr>
          <w:rFonts w:ascii="Garamond" w:hAnsi="Garamond" w:cs="Times New Roman"/>
          <w:sz w:val="24"/>
          <w:szCs w:val="24"/>
        </w:rPr>
      </w:pPr>
    </w:p>
    <w:p w14:paraId="47E80F21" w14:textId="77777777" w:rsidR="00443DDC" w:rsidRPr="00443DDC" w:rsidRDefault="00443DDC" w:rsidP="00443DDC">
      <w:pPr>
        <w:spacing w:line="240" w:lineRule="auto"/>
        <w:contextualSpacing/>
        <w:rPr>
          <w:rFonts w:ascii="Garamond" w:hAnsi="Garamond" w:cs="Times New Roman"/>
          <w:sz w:val="24"/>
          <w:szCs w:val="24"/>
        </w:rPr>
      </w:pPr>
      <w:r w:rsidRPr="00443DDC">
        <w:rPr>
          <w:rFonts w:ascii="Garamond" w:hAnsi="Garamond" w:cs="Times New Roman"/>
          <w:sz w:val="24"/>
          <w:szCs w:val="24"/>
        </w:rPr>
        <w:lastRenderedPageBreak/>
        <w:t xml:space="preserve">Terry M. Moe, “On the Scientific Status of Rational Models,” </w:t>
      </w:r>
      <w:r w:rsidRPr="00443DDC">
        <w:rPr>
          <w:rFonts w:ascii="Garamond" w:hAnsi="Garamond" w:cs="Times New Roman"/>
          <w:i/>
          <w:iCs/>
          <w:sz w:val="24"/>
          <w:szCs w:val="24"/>
        </w:rPr>
        <w:t>American Journal of Political Science</w:t>
      </w:r>
      <w:r w:rsidRPr="00443DDC">
        <w:rPr>
          <w:rFonts w:ascii="Garamond" w:hAnsi="Garamond" w:cs="Times New Roman"/>
          <w:sz w:val="24"/>
          <w:szCs w:val="24"/>
        </w:rPr>
        <w:t xml:space="preserve"> 23, no. 1 (February 1979): 215–43.</w:t>
      </w:r>
    </w:p>
    <w:p w14:paraId="0BBBCC0C" w14:textId="7B4DB092" w:rsidR="00443DDC" w:rsidRDefault="00443DDC" w:rsidP="00BA4DAD">
      <w:pPr>
        <w:spacing w:line="240" w:lineRule="auto"/>
        <w:contextualSpacing/>
        <w:rPr>
          <w:rFonts w:ascii="Garamond" w:hAnsi="Garamond" w:cs="Times New Roman"/>
          <w:sz w:val="24"/>
          <w:szCs w:val="24"/>
        </w:rPr>
      </w:pPr>
    </w:p>
    <w:p w14:paraId="659FB77C" w14:textId="77777777" w:rsidR="005C0184" w:rsidRPr="00443DDC" w:rsidRDefault="005C0184" w:rsidP="005C0184">
      <w:pPr>
        <w:spacing w:line="240" w:lineRule="auto"/>
        <w:contextualSpacing/>
        <w:rPr>
          <w:rFonts w:ascii="Garamond" w:hAnsi="Garamond" w:cs="Times New Roman"/>
          <w:sz w:val="24"/>
          <w:szCs w:val="24"/>
        </w:rPr>
      </w:pPr>
      <w:r w:rsidRPr="00443DDC">
        <w:rPr>
          <w:rFonts w:ascii="Garamond" w:hAnsi="Garamond" w:cs="Times New Roman"/>
          <w:sz w:val="24"/>
          <w:szCs w:val="24"/>
        </w:rPr>
        <w:t xml:space="preserve">Jonathan Bendor and Jacob N. Shapiro, “Historical Contingencies in the Evolution of States and Their Militaries,” </w:t>
      </w:r>
      <w:r w:rsidRPr="00443DDC">
        <w:rPr>
          <w:rFonts w:ascii="Garamond" w:hAnsi="Garamond" w:cs="Times New Roman"/>
          <w:i/>
          <w:iCs/>
          <w:sz w:val="24"/>
          <w:szCs w:val="24"/>
        </w:rPr>
        <w:t>World Politics</w:t>
      </w:r>
      <w:r w:rsidRPr="00443DDC">
        <w:rPr>
          <w:rFonts w:ascii="Garamond" w:hAnsi="Garamond" w:cs="Times New Roman"/>
          <w:sz w:val="24"/>
          <w:szCs w:val="24"/>
        </w:rPr>
        <w:t xml:space="preserve"> 71, no. 1 (January 2019): 126–61.</w:t>
      </w:r>
    </w:p>
    <w:p w14:paraId="30D7E602" w14:textId="77777777" w:rsidR="005C0184" w:rsidRPr="00B55323" w:rsidRDefault="005C0184" w:rsidP="00BA4DAD">
      <w:pPr>
        <w:spacing w:line="240" w:lineRule="auto"/>
        <w:contextualSpacing/>
        <w:rPr>
          <w:rFonts w:ascii="Garamond" w:hAnsi="Garamond" w:cs="Times New Roman"/>
          <w:sz w:val="24"/>
          <w:szCs w:val="24"/>
        </w:rPr>
      </w:pPr>
    </w:p>
    <w:p w14:paraId="3F5C83C8" w14:textId="77777777" w:rsidR="00443DDC" w:rsidRPr="00443DDC" w:rsidRDefault="00443DDC" w:rsidP="00443DDC">
      <w:pPr>
        <w:spacing w:line="240" w:lineRule="auto"/>
        <w:contextualSpacing/>
        <w:rPr>
          <w:rFonts w:ascii="Garamond" w:hAnsi="Garamond" w:cs="Times New Roman"/>
          <w:bCs/>
          <w:iCs/>
          <w:sz w:val="24"/>
          <w:szCs w:val="24"/>
        </w:rPr>
      </w:pPr>
      <w:r w:rsidRPr="00443DDC">
        <w:rPr>
          <w:rFonts w:ascii="Garamond" w:hAnsi="Garamond" w:cs="Times New Roman"/>
          <w:bCs/>
          <w:iCs/>
          <w:sz w:val="24"/>
          <w:szCs w:val="24"/>
        </w:rPr>
        <w:t xml:space="preserve">Aseem Hasnain and Charles Kurzman, “When Forecasts Fail: Unpredictability in Israeli-Palestinian Interaction,” </w:t>
      </w:r>
      <w:r w:rsidRPr="00443DDC">
        <w:rPr>
          <w:rFonts w:ascii="Garamond" w:hAnsi="Garamond" w:cs="Times New Roman"/>
          <w:bCs/>
          <w:i/>
          <w:iCs/>
          <w:sz w:val="24"/>
          <w:szCs w:val="24"/>
        </w:rPr>
        <w:t>Sociological Science</w:t>
      </w:r>
      <w:r w:rsidRPr="00443DDC">
        <w:rPr>
          <w:rFonts w:ascii="Garamond" w:hAnsi="Garamond" w:cs="Times New Roman"/>
          <w:bCs/>
          <w:iCs/>
          <w:sz w:val="24"/>
          <w:szCs w:val="24"/>
        </w:rPr>
        <w:t xml:space="preserve"> 1 (June 2014): 239–59.</w:t>
      </w:r>
    </w:p>
    <w:p w14:paraId="54DF14EC" w14:textId="77777777" w:rsidR="00443DDC" w:rsidRDefault="00443DDC" w:rsidP="00443DDC">
      <w:pPr>
        <w:spacing w:line="240" w:lineRule="auto"/>
        <w:contextualSpacing/>
        <w:rPr>
          <w:rFonts w:ascii="Garamond" w:hAnsi="Garamond" w:cs="Times New Roman"/>
          <w:bCs/>
          <w:iCs/>
          <w:sz w:val="24"/>
          <w:szCs w:val="24"/>
        </w:rPr>
      </w:pPr>
    </w:p>
    <w:p w14:paraId="5B385A5C" w14:textId="4ED823B7" w:rsidR="00443DDC" w:rsidRPr="00443DDC" w:rsidRDefault="00443DDC" w:rsidP="00443DDC">
      <w:pPr>
        <w:spacing w:line="240" w:lineRule="auto"/>
        <w:contextualSpacing/>
        <w:rPr>
          <w:rFonts w:ascii="Garamond" w:hAnsi="Garamond" w:cs="Times New Roman"/>
          <w:bCs/>
          <w:iCs/>
          <w:sz w:val="24"/>
          <w:szCs w:val="24"/>
        </w:rPr>
      </w:pPr>
      <w:r w:rsidRPr="00443DDC">
        <w:rPr>
          <w:rFonts w:ascii="Garamond" w:hAnsi="Garamond" w:cs="Times New Roman"/>
          <w:bCs/>
          <w:iCs/>
          <w:sz w:val="24"/>
          <w:szCs w:val="24"/>
        </w:rPr>
        <w:t xml:space="preserve">Jeff Madrick, “Why the Experts Missed the Recession,” </w:t>
      </w:r>
      <w:r w:rsidRPr="00443DDC">
        <w:rPr>
          <w:rFonts w:ascii="Garamond" w:hAnsi="Garamond" w:cs="Times New Roman"/>
          <w:bCs/>
          <w:i/>
          <w:iCs/>
          <w:sz w:val="24"/>
          <w:szCs w:val="24"/>
        </w:rPr>
        <w:t>The New York Review of Books</w:t>
      </w:r>
      <w:r w:rsidRPr="00443DDC">
        <w:rPr>
          <w:rFonts w:ascii="Garamond" w:hAnsi="Garamond" w:cs="Times New Roman"/>
          <w:bCs/>
          <w:iCs/>
          <w:sz w:val="24"/>
          <w:szCs w:val="24"/>
        </w:rPr>
        <w:t>, September 25, 2014, https://www.nybooks.com/articles/2014/09/25/why-experts-missed-recession/.</w:t>
      </w:r>
    </w:p>
    <w:p w14:paraId="7A47CF89" w14:textId="3F794098" w:rsidR="008B46D1" w:rsidRDefault="008B46D1" w:rsidP="001F71B5">
      <w:pPr>
        <w:spacing w:line="240" w:lineRule="auto"/>
        <w:contextualSpacing/>
        <w:rPr>
          <w:rFonts w:ascii="Garamond" w:hAnsi="Garamond" w:cs="Times New Roman"/>
          <w:bCs/>
          <w:iCs/>
          <w:sz w:val="24"/>
          <w:szCs w:val="24"/>
        </w:rPr>
      </w:pPr>
    </w:p>
    <w:p w14:paraId="1923C517" w14:textId="733BAABF" w:rsidR="00443DDC" w:rsidRDefault="00443DDC" w:rsidP="00443DDC">
      <w:pPr>
        <w:spacing w:line="240" w:lineRule="auto"/>
        <w:contextualSpacing/>
        <w:rPr>
          <w:rFonts w:ascii="Garamond" w:hAnsi="Garamond" w:cs="Times New Roman"/>
          <w:bCs/>
          <w:iCs/>
          <w:sz w:val="24"/>
          <w:szCs w:val="24"/>
        </w:rPr>
      </w:pPr>
      <w:r w:rsidRPr="00443DDC">
        <w:rPr>
          <w:rFonts w:ascii="Garamond" w:hAnsi="Garamond" w:cs="Times New Roman"/>
          <w:bCs/>
          <w:iCs/>
          <w:sz w:val="24"/>
          <w:szCs w:val="24"/>
        </w:rPr>
        <w:t xml:space="preserve">Richard York and Brett Clark, “The Problem with Prediction: Contingency, Emergence, and the Reification of Projections,” </w:t>
      </w:r>
      <w:r w:rsidRPr="00443DDC">
        <w:rPr>
          <w:rFonts w:ascii="Garamond" w:hAnsi="Garamond" w:cs="Times New Roman"/>
          <w:bCs/>
          <w:i/>
          <w:iCs/>
          <w:sz w:val="24"/>
          <w:szCs w:val="24"/>
        </w:rPr>
        <w:t>Sociological Quarterly</w:t>
      </w:r>
      <w:r w:rsidRPr="00443DDC">
        <w:rPr>
          <w:rFonts w:ascii="Garamond" w:hAnsi="Garamond" w:cs="Times New Roman"/>
          <w:bCs/>
          <w:iCs/>
          <w:sz w:val="24"/>
          <w:szCs w:val="24"/>
        </w:rPr>
        <w:t xml:space="preserve"> 48, no. 4 (September 2007): 713–43.</w:t>
      </w:r>
    </w:p>
    <w:p w14:paraId="53125453" w14:textId="0139E692" w:rsidR="00443DDC" w:rsidRDefault="00443DDC" w:rsidP="00443DDC">
      <w:pPr>
        <w:spacing w:line="240" w:lineRule="auto"/>
        <w:contextualSpacing/>
        <w:rPr>
          <w:rFonts w:ascii="Garamond" w:hAnsi="Garamond" w:cs="Times New Roman"/>
          <w:bCs/>
          <w:iCs/>
          <w:sz w:val="24"/>
          <w:szCs w:val="24"/>
        </w:rPr>
      </w:pPr>
    </w:p>
    <w:p w14:paraId="6A057B71" w14:textId="77777777" w:rsidR="00443DDC" w:rsidRPr="00443DDC" w:rsidRDefault="00443DDC" w:rsidP="00443DDC">
      <w:pPr>
        <w:spacing w:line="240" w:lineRule="auto"/>
        <w:contextualSpacing/>
        <w:rPr>
          <w:rFonts w:ascii="Garamond" w:hAnsi="Garamond" w:cs="Times New Roman"/>
          <w:sz w:val="24"/>
          <w:szCs w:val="24"/>
        </w:rPr>
      </w:pPr>
      <w:r w:rsidRPr="00443DDC">
        <w:rPr>
          <w:rFonts w:ascii="Garamond" w:hAnsi="Garamond" w:cs="Times New Roman"/>
          <w:sz w:val="24"/>
          <w:szCs w:val="24"/>
        </w:rPr>
        <w:t xml:space="preserve">Ian Shapiro and Sonu Bedi, eds., </w:t>
      </w:r>
      <w:r w:rsidRPr="00443DDC">
        <w:rPr>
          <w:rFonts w:ascii="Garamond" w:hAnsi="Garamond" w:cs="Times New Roman"/>
          <w:i/>
          <w:iCs/>
          <w:sz w:val="24"/>
          <w:szCs w:val="24"/>
        </w:rPr>
        <w:t>Political Contingency: Studying the Unexpected, the Accidental, and the Unforeseen</w:t>
      </w:r>
      <w:r w:rsidRPr="00443DDC">
        <w:rPr>
          <w:rFonts w:ascii="Garamond" w:hAnsi="Garamond" w:cs="Times New Roman"/>
          <w:sz w:val="24"/>
          <w:szCs w:val="24"/>
        </w:rPr>
        <w:t xml:space="preserve"> (New York: New York University Press, 2007).</w:t>
      </w:r>
    </w:p>
    <w:p w14:paraId="29AFDCF0" w14:textId="77777777" w:rsidR="00443DDC" w:rsidRPr="00443DDC" w:rsidRDefault="00443DDC" w:rsidP="001F71B5">
      <w:pPr>
        <w:spacing w:line="240" w:lineRule="auto"/>
        <w:contextualSpacing/>
        <w:rPr>
          <w:rFonts w:ascii="Garamond" w:hAnsi="Garamond" w:cs="Times New Roman"/>
          <w:bCs/>
          <w:iCs/>
          <w:sz w:val="24"/>
          <w:szCs w:val="24"/>
        </w:rPr>
      </w:pPr>
    </w:p>
    <w:p w14:paraId="309F183F" w14:textId="77777777" w:rsidR="00443DDC" w:rsidRPr="00443DDC" w:rsidRDefault="00443DDC" w:rsidP="00443DDC">
      <w:pPr>
        <w:spacing w:line="240" w:lineRule="auto"/>
        <w:contextualSpacing/>
        <w:rPr>
          <w:rFonts w:ascii="Garamond" w:hAnsi="Garamond" w:cs="Times New Roman"/>
          <w:bCs/>
          <w:iCs/>
          <w:sz w:val="24"/>
          <w:szCs w:val="24"/>
        </w:rPr>
      </w:pPr>
      <w:r w:rsidRPr="00443DDC">
        <w:rPr>
          <w:rFonts w:ascii="Garamond" w:hAnsi="Garamond" w:cs="Times New Roman"/>
          <w:bCs/>
          <w:iCs/>
          <w:sz w:val="24"/>
          <w:szCs w:val="24"/>
        </w:rPr>
        <w:t xml:space="preserve">Jörg Friedrichs and Friedrich Kratochwil, “On Acting and Knowing: How Pragmatism Can Advance International Relations Research and Methodology,” </w:t>
      </w:r>
      <w:r w:rsidRPr="00443DDC">
        <w:rPr>
          <w:rFonts w:ascii="Garamond" w:hAnsi="Garamond" w:cs="Times New Roman"/>
          <w:bCs/>
          <w:i/>
          <w:iCs/>
          <w:sz w:val="24"/>
          <w:szCs w:val="24"/>
        </w:rPr>
        <w:t>International Organization</w:t>
      </w:r>
      <w:r w:rsidRPr="00443DDC">
        <w:rPr>
          <w:rFonts w:ascii="Garamond" w:hAnsi="Garamond" w:cs="Times New Roman"/>
          <w:bCs/>
          <w:iCs/>
          <w:sz w:val="24"/>
          <w:szCs w:val="24"/>
        </w:rPr>
        <w:t xml:space="preserve"> 63, no. 4 (Fall 2009): 701–31.</w:t>
      </w:r>
    </w:p>
    <w:p w14:paraId="1DACD810" w14:textId="77777777" w:rsidR="00443DDC" w:rsidRDefault="00443DDC" w:rsidP="00443DDC">
      <w:pPr>
        <w:spacing w:line="240" w:lineRule="auto"/>
        <w:contextualSpacing/>
        <w:rPr>
          <w:rFonts w:ascii="Garamond" w:hAnsi="Garamond" w:cs="Times New Roman"/>
          <w:bCs/>
          <w:iCs/>
          <w:sz w:val="24"/>
          <w:szCs w:val="24"/>
        </w:rPr>
      </w:pPr>
    </w:p>
    <w:p w14:paraId="6271E3B4" w14:textId="2E94CDED" w:rsidR="00443DDC" w:rsidRPr="00443DDC" w:rsidRDefault="00443DDC" w:rsidP="00443DDC">
      <w:pPr>
        <w:spacing w:line="240" w:lineRule="auto"/>
        <w:contextualSpacing/>
        <w:rPr>
          <w:rFonts w:ascii="Garamond" w:hAnsi="Garamond" w:cs="Times New Roman"/>
          <w:bCs/>
          <w:iCs/>
          <w:sz w:val="24"/>
          <w:szCs w:val="24"/>
        </w:rPr>
      </w:pPr>
      <w:r w:rsidRPr="00443DDC">
        <w:rPr>
          <w:rFonts w:ascii="Garamond" w:hAnsi="Garamond" w:cs="Times New Roman"/>
          <w:bCs/>
          <w:iCs/>
          <w:sz w:val="24"/>
          <w:szCs w:val="24"/>
        </w:rPr>
        <w:t xml:space="preserve">Friedrich Kratochwil, “Of False Promises and Good Bets: A Plea for a Pragmatic Approach to Theory Building (the Tartu Lecture),” </w:t>
      </w:r>
      <w:r w:rsidRPr="00443DDC">
        <w:rPr>
          <w:rFonts w:ascii="Garamond" w:hAnsi="Garamond" w:cs="Times New Roman"/>
          <w:bCs/>
          <w:i/>
          <w:iCs/>
          <w:sz w:val="24"/>
          <w:szCs w:val="24"/>
        </w:rPr>
        <w:t>Journal of International Relations and Development</w:t>
      </w:r>
      <w:r w:rsidRPr="00443DDC">
        <w:rPr>
          <w:rFonts w:ascii="Garamond" w:hAnsi="Garamond" w:cs="Times New Roman"/>
          <w:bCs/>
          <w:iCs/>
          <w:sz w:val="24"/>
          <w:szCs w:val="24"/>
        </w:rPr>
        <w:t xml:space="preserve"> 10 (2007): 1–15.</w:t>
      </w:r>
    </w:p>
    <w:p w14:paraId="0BEE1178" w14:textId="4720F1CC" w:rsidR="00443DDC" w:rsidRPr="00443DDC" w:rsidRDefault="00443DDC" w:rsidP="001F71B5">
      <w:pPr>
        <w:spacing w:line="240" w:lineRule="auto"/>
        <w:contextualSpacing/>
        <w:rPr>
          <w:rFonts w:ascii="Garamond" w:hAnsi="Garamond" w:cs="Times New Roman"/>
          <w:bCs/>
          <w:iCs/>
          <w:sz w:val="24"/>
          <w:szCs w:val="24"/>
        </w:rPr>
      </w:pPr>
    </w:p>
    <w:p w14:paraId="4334FF2D" w14:textId="7B32848B" w:rsidR="00DA18FF" w:rsidRDefault="00DA18FF" w:rsidP="00DA18FF">
      <w:pPr>
        <w:spacing w:line="240" w:lineRule="auto"/>
        <w:contextualSpacing/>
        <w:rPr>
          <w:rFonts w:ascii="Garamond" w:hAnsi="Garamond" w:cs="Times New Roman"/>
          <w:bCs/>
          <w:iCs/>
          <w:sz w:val="24"/>
          <w:szCs w:val="24"/>
        </w:rPr>
      </w:pPr>
      <w:r w:rsidRPr="00DA18FF">
        <w:rPr>
          <w:rFonts w:ascii="Garamond" w:hAnsi="Garamond" w:cs="Times New Roman"/>
          <w:bCs/>
          <w:iCs/>
          <w:sz w:val="24"/>
          <w:szCs w:val="24"/>
        </w:rPr>
        <w:t xml:space="preserve">Drew Bowlsby et al., “The Future Is a Moving Target: Predicting Political Instability,” </w:t>
      </w:r>
      <w:r w:rsidRPr="00DA18FF">
        <w:rPr>
          <w:rFonts w:ascii="Garamond" w:hAnsi="Garamond" w:cs="Times New Roman"/>
          <w:bCs/>
          <w:i/>
          <w:iCs/>
          <w:sz w:val="24"/>
          <w:szCs w:val="24"/>
        </w:rPr>
        <w:t>British Journal of Political Science</w:t>
      </w:r>
      <w:r w:rsidRPr="00DA18FF">
        <w:rPr>
          <w:rFonts w:ascii="Garamond" w:hAnsi="Garamond" w:cs="Times New Roman"/>
          <w:bCs/>
          <w:iCs/>
          <w:sz w:val="24"/>
          <w:szCs w:val="24"/>
        </w:rPr>
        <w:t xml:space="preserve"> 50, no. 4 (2019): 1–13.</w:t>
      </w:r>
    </w:p>
    <w:p w14:paraId="5C13B48B" w14:textId="7B020FA2" w:rsidR="00D64256" w:rsidRDefault="00D64256" w:rsidP="00DA18FF">
      <w:pPr>
        <w:spacing w:line="240" w:lineRule="auto"/>
        <w:contextualSpacing/>
        <w:rPr>
          <w:rFonts w:ascii="Garamond" w:hAnsi="Garamond" w:cs="Times New Roman"/>
          <w:bCs/>
          <w:iCs/>
          <w:sz w:val="24"/>
          <w:szCs w:val="24"/>
        </w:rPr>
      </w:pPr>
    </w:p>
    <w:p w14:paraId="0EC668BC" w14:textId="3AF3FBBE" w:rsidR="00C67BA1" w:rsidRDefault="000D7DE7" w:rsidP="001F71B5">
      <w:pPr>
        <w:spacing w:line="240" w:lineRule="auto"/>
        <w:contextualSpacing/>
        <w:rPr>
          <w:rFonts w:ascii="Garamond" w:hAnsi="Garamond" w:cs="Times New Roman"/>
          <w:i/>
          <w:sz w:val="24"/>
          <w:szCs w:val="24"/>
        </w:rPr>
      </w:pPr>
      <w:r>
        <w:rPr>
          <w:rFonts w:ascii="Garamond" w:hAnsi="Garamond" w:cs="Times New Roman"/>
          <w:i/>
          <w:sz w:val="24"/>
          <w:szCs w:val="24"/>
        </w:rPr>
        <w:t>I am leaving this module open for now: let me know if you have ideas</w:t>
      </w:r>
    </w:p>
    <w:p w14:paraId="7AABC971" w14:textId="77777777" w:rsidR="005A1DE0" w:rsidRDefault="005A1DE0" w:rsidP="001F71B5">
      <w:pPr>
        <w:spacing w:line="240" w:lineRule="auto"/>
        <w:contextualSpacing/>
        <w:rPr>
          <w:rFonts w:ascii="Garamond" w:hAnsi="Garamond" w:cs="Times New Roman"/>
          <w:i/>
          <w:sz w:val="24"/>
          <w:szCs w:val="24"/>
        </w:rPr>
      </w:pPr>
    </w:p>
    <w:p w14:paraId="741F5045" w14:textId="77777777" w:rsidR="00661BB8" w:rsidRPr="00D47023" w:rsidRDefault="00661BB8" w:rsidP="001F71B5">
      <w:pPr>
        <w:spacing w:line="240" w:lineRule="auto"/>
        <w:contextualSpacing/>
        <w:rPr>
          <w:rFonts w:ascii="Garamond" w:hAnsi="Garamond" w:cs="Times New Roman"/>
          <w:i/>
          <w:sz w:val="24"/>
          <w:szCs w:val="24"/>
        </w:rPr>
      </w:pPr>
    </w:p>
    <w:p w14:paraId="3F0D9877" w14:textId="1DD2660A" w:rsidR="00BA4DAD" w:rsidRDefault="00087827" w:rsidP="001F71B5">
      <w:pPr>
        <w:spacing w:line="240" w:lineRule="auto"/>
        <w:contextualSpacing/>
        <w:rPr>
          <w:rFonts w:ascii="Garamond" w:hAnsi="Garamond" w:cs="Times New Roman"/>
          <w:b/>
          <w:i/>
          <w:sz w:val="24"/>
          <w:szCs w:val="24"/>
        </w:rPr>
      </w:pPr>
      <w:r>
        <w:rPr>
          <w:rFonts w:ascii="Garamond" w:hAnsi="Garamond" w:cs="Times New Roman"/>
          <w:b/>
          <w:i/>
          <w:sz w:val="24"/>
          <w:szCs w:val="24"/>
        </w:rPr>
        <w:t>April 17:</w:t>
      </w:r>
    </w:p>
    <w:p w14:paraId="2BA16227" w14:textId="77777777" w:rsidR="00087827" w:rsidRDefault="00087827" w:rsidP="001F71B5">
      <w:pPr>
        <w:spacing w:line="240" w:lineRule="auto"/>
        <w:contextualSpacing/>
        <w:rPr>
          <w:rFonts w:ascii="Garamond" w:hAnsi="Garamond" w:cs="Times New Roman"/>
          <w:b/>
          <w:i/>
          <w:sz w:val="24"/>
          <w:szCs w:val="24"/>
        </w:rPr>
      </w:pPr>
    </w:p>
    <w:p w14:paraId="5CCA7AB5" w14:textId="77777777" w:rsidR="00BA4DAD" w:rsidRPr="00661BB8" w:rsidRDefault="00BA4DAD" w:rsidP="00BA4DAD">
      <w:pPr>
        <w:spacing w:line="240" w:lineRule="auto"/>
        <w:contextualSpacing/>
        <w:rPr>
          <w:rFonts w:ascii="Garamond" w:hAnsi="Garamond" w:cs="Times New Roman"/>
          <w:b/>
          <w:bCs/>
          <w:i/>
          <w:iCs/>
          <w:sz w:val="24"/>
          <w:szCs w:val="24"/>
        </w:rPr>
      </w:pPr>
      <w:r w:rsidRPr="00661BB8">
        <w:rPr>
          <w:rFonts w:ascii="Garamond" w:hAnsi="Garamond" w:cs="Times New Roman"/>
          <w:b/>
          <w:bCs/>
          <w:i/>
          <w:iCs/>
          <w:sz w:val="24"/>
          <w:szCs w:val="24"/>
        </w:rPr>
        <w:t>Concept formation</w:t>
      </w:r>
    </w:p>
    <w:p w14:paraId="7597D4C5" w14:textId="77777777" w:rsidR="00BA4DAD" w:rsidRPr="00661BB8" w:rsidRDefault="00BA4DAD" w:rsidP="001F71B5">
      <w:pPr>
        <w:spacing w:line="240" w:lineRule="auto"/>
        <w:contextualSpacing/>
        <w:rPr>
          <w:rFonts w:ascii="Garamond" w:hAnsi="Garamond" w:cs="Times New Roman"/>
          <w:b/>
          <w:bCs/>
          <w:i/>
          <w:sz w:val="24"/>
          <w:szCs w:val="24"/>
        </w:rPr>
      </w:pPr>
    </w:p>
    <w:p w14:paraId="2BC8496E" w14:textId="4A49DE32" w:rsidR="007873A7" w:rsidRDefault="007873A7" w:rsidP="007873A7">
      <w:pPr>
        <w:spacing w:line="240" w:lineRule="auto"/>
        <w:contextualSpacing/>
        <w:rPr>
          <w:rFonts w:ascii="Garamond" w:hAnsi="Garamond" w:cs="Times New Roman"/>
          <w:b/>
          <w:bCs/>
          <w:iCs/>
          <w:sz w:val="24"/>
          <w:szCs w:val="24"/>
        </w:rPr>
      </w:pPr>
      <w:r w:rsidRPr="00661BB8">
        <w:rPr>
          <w:rFonts w:ascii="Garamond" w:hAnsi="Garamond" w:cs="Times New Roman"/>
          <w:b/>
          <w:bCs/>
          <w:iCs/>
          <w:sz w:val="24"/>
          <w:szCs w:val="24"/>
        </w:rPr>
        <w:t xml:space="preserve">Giovanni Sartori, “Concept Misformation in Comparative Politics,” </w:t>
      </w:r>
      <w:r w:rsidRPr="00661BB8">
        <w:rPr>
          <w:rFonts w:ascii="Garamond" w:hAnsi="Garamond" w:cs="Times New Roman"/>
          <w:b/>
          <w:bCs/>
          <w:i/>
          <w:iCs/>
          <w:sz w:val="24"/>
          <w:szCs w:val="24"/>
        </w:rPr>
        <w:t>American Political Science Review</w:t>
      </w:r>
      <w:r w:rsidRPr="00661BB8">
        <w:rPr>
          <w:rFonts w:ascii="Garamond" w:hAnsi="Garamond" w:cs="Times New Roman"/>
          <w:b/>
          <w:bCs/>
          <w:iCs/>
          <w:sz w:val="24"/>
          <w:szCs w:val="24"/>
        </w:rPr>
        <w:t xml:space="preserve"> 64, no. 4 (December 1970): 1033–53.</w:t>
      </w:r>
    </w:p>
    <w:p w14:paraId="65D66765" w14:textId="77777777" w:rsidR="000448CC" w:rsidRDefault="000448CC" w:rsidP="007873A7">
      <w:pPr>
        <w:spacing w:line="240" w:lineRule="auto"/>
        <w:contextualSpacing/>
        <w:rPr>
          <w:rFonts w:ascii="Garamond" w:hAnsi="Garamond" w:cs="Times New Roman"/>
          <w:b/>
          <w:bCs/>
          <w:iCs/>
          <w:sz w:val="24"/>
          <w:szCs w:val="24"/>
        </w:rPr>
      </w:pPr>
    </w:p>
    <w:p w14:paraId="014D820B" w14:textId="0378D6F0" w:rsidR="007873A7" w:rsidRPr="000448CC" w:rsidRDefault="000448CC" w:rsidP="000448CC">
      <w:pPr>
        <w:rPr>
          <w:rFonts w:ascii="Garamond" w:hAnsi="Garamond"/>
          <w:b/>
          <w:bCs/>
          <w:sz w:val="24"/>
          <w:szCs w:val="24"/>
        </w:rPr>
      </w:pPr>
      <w:r w:rsidRPr="001B1C19">
        <w:rPr>
          <w:rFonts w:ascii="Garamond" w:hAnsi="Garamond"/>
          <w:b/>
          <w:bCs/>
          <w:sz w:val="24"/>
          <w:szCs w:val="24"/>
        </w:rPr>
        <w:t xml:space="preserve">Gary Goertz, </w:t>
      </w:r>
      <w:r w:rsidRPr="001B1C19">
        <w:rPr>
          <w:rFonts w:ascii="Garamond" w:hAnsi="Garamond"/>
          <w:b/>
          <w:bCs/>
          <w:i/>
          <w:iCs/>
          <w:sz w:val="24"/>
          <w:szCs w:val="24"/>
        </w:rPr>
        <w:t>Social Science Concepts: A User’s Guide</w:t>
      </w:r>
      <w:r w:rsidRPr="001B1C19">
        <w:rPr>
          <w:rFonts w:ascii="Garamond" w:hAnsi="Garamond"/>
          <w:b/>
          <w:bCs/>
          <w:sz w:val="24"/>
          <w:szCs w:val="24"/>
        </w:rPr>
        <w:t xml:space="preserve"> (Princeton, NJ: Princeton University Press, 2006), 1–68 (Introduction, Chapter 1 and 2).</w:t>
      </w:r>
    </w:p>
    <w:p w14:paraId="3B2D20B2" w14:textId="55245D2C" w:rsidR="007873A7" w:rsidRPr="00661BB8" w:rsidRDefault="007873A7" w:rsidP="007873A7">
      <w:pPr>
        <w:spacing w:line="240" w:lineRule="auto"/>
        <w:contextualSpacing/>
        <w:rPr>
          <w:rFonts w:ascii="Garamond" w:hAnsi="Garamond" w:cs="Times New Roman"/>
          <w:b/>
          <w:bCs/>
          <w:iCs/>
          <w:sz w:val="24"/>
          <w:szCs w:val="24"/>
        </w:rPr>
      </w:pPr>
      <w:r w:rsidRPr="00661BB8">
        <w:rPr>
          <w:rFonts w:ascii="Garamond" w:hAnsi="Garamond" w:cs="Times New Roman"/>
          <w:b/>
          <w:bCs/>
          <w:iCs/>
          <w:sz w:val="24"/>
          <w:szCs w:val="24"/>
        </w:rPr>
        <w:t xml:space="preserve">John Gerring, </w:t>
      </w:r>
      <w:r w:rsidRPr="00661BB8">
        <w:rPr>
          <w:rFonts w:ascii="Garamond" w:hAnsi="Garamond" w:cs="Times New Roman"/>
          <w:b/>
          <w:bCs/>
          <w:i/>
          <w:iCs/>
          <w:sz w:val="24"/>
          <w:szCs w:val="24"/>
        </w:rPr>
        <w:t>Social Science Methodology: A Unified Framework</w:t>
      </w:r>
      <w:r w:rsidRPr="00661BB8">
        <w:rPr>
          <w:rFonts w:ascii="Garamond" w:hAnsi="Garamond" w:cs="Times New Roman"/>
          <w:b/>
          <w:bCs/>
          <w:iCs/>
          <w:sz w:val="24"/>
          <w:szCs w:val="24"/>
        </w:rPr>
        <w:t>, 2nd ed. (Cambridge: Cambridge University Press, 2012), 107–40</w:t>
      </w:r>
      <w:r w:rsidR="003F4B52">
        <w:rPr>
          <w:rFonts w:ascii="Garamond" w:hAnsi="Garamond" w:cs="Times New Roman"/>
          <w:b/>
          <w:bCs/>
          <w:iCs/>
          <w:sz w:val="24"/>
          <w:szCs w:val="24"/>
        </w:rPr>
        <w:t xml:space="preserve"> (</w:t>
      </w:r>
      <w:r w:rsidRPr="00661BB8">
        <w:rPr>
          <w:rFonts w:ascii="Garamond" w:hAnsi="Garamond" w:cs="Times New Roman"/>
          <w:b/>
          <w:bCs/>
          <w:iCs/>
          <w:sz w:val="24"/>
          <w:szCs w:val="24"/>
        </w:rPr>
        <w:t>Chapter 5</w:t>
      </w:r>
      <w:r w:rsidR="003F4B52">
        <w:rPr>
          <w:rFonts w:ascii="Garamond" w:hAnsi="Garamond" w:cs="Times New Roman"/>
          <w:b/>
          <w:bCs/>
          <w:iCs/>
          <w:sz w:val="24"/>
          <w:szCs w:val="24"/>
        </w:rPr>
        <w:t>).</w:t>
      </w:r>
    </w:p>
    <w:p w14:paraId="748FF80F" w14:textId="77777777" w:rsidR="007873A7" w:rsidRPr="00661BB8" w:rsidRDefault="007873A7" w:rsidP="007873A7">
      <w:pPr>
        <w:spacing w:line="240" w:lineRule="auto"/>
        <w:contextualSpacing/>
        <w:rPr>
          <w:rFonts w:ascii="Garamond" w:hAnsi="Garamond" w:cs="Times New Roman"/>
          <w:b/>
          <w:bCs/>
          <w:iCs/>
          <w:sz w:val="24"/>
          <w:szCs w:val="24"/>
        </w:rPr>
      </w:pPr>
    </w:p>
    <w:p w14:paraId="7DF50E74" w14:textId="70B1DC79" w:rsidR="007873A7" w:rsidRPr="00661BB8" w:rsidRDefault="007873A7" w:rsidP="007873A7">
      <w:pPr>
        <w:spacing w:line="240" w:lineRule="auto"/>
        <w:contextualSpacing/>
        <w:rPr>
          <w:rFonts w:ascii="Garamond" w:hAnsi="Garamond" w:cs="Times New Roman"/>
          <w:b/>
          <w:bCs/>
          <w:iCs/>
          <w:sz w:val="24"/>
          <w:szCs w:val="24"/>
        </w:rPr>
      </w:pPr>
      <w:r w:rsidRPr="00661BB8">
        <w:rPr>
          <w:rFonts w:ascii="Garamond" w:hAnsi="Garamond" w:cs="Times New Roman"/>
          <w:b/>
          <w:bCs/>
          <w:iCs/>
          <w:sz w:val="24"/>
          <w:szCs w:val="24"/>
        </w:rPr>
        <w:t xml:space="preserve">Mark Bevir and Asaf Kedar, “Concept Formation in Political Science: An Anti-Naturalist Critique of Qualitative Methodology,” </w:t>
      </w:r>
      <w:r w:rsidRPr="00661BB8">
        <w:rPr>
          <w:rFonts w:ascii="Garamond" w:hAnsi="Garamond" w:cs="Times New Roman"/>
          <w:b/>
          <w:bCs/>
          <w:i/>
          <w:iCs/>
          <w:sz w:val="24"/>
          <w:szCs w:val="24"/>
        </w:rPr>
        <w:t>Perspectives on Politics</w:t>
      </w:r>
      <w:r w:rsidRPr="00661BB8">
        <w:rPr>
          <w:rFonts w:ascii="Garamond" w:hAnsi="Garamond" w:cs="Times New Roman"/>
          <w:b/>
          <w:bCs/>
          <w:iCs/>
          <w:sz w:val="24"/>
          <w:szCs w:val="24"/>
        </w:rPr>
        <w:t>, no. 03 (September 2008): 503–17.</w:t>
      </w:r>
    </w:p>
    <w:p w14:paraId="009C7FDF" w14:textId="77777777" w:rsidR="007873A7" w:rsidRPr="00661BB8" w:rsidRDefault="007873A7" w:rsidP="007873A7">
      <w:pPr>
        <w:spacing w:line="240" w:lineRule="auto"/>
        <w:contextualSpacing/>
        <w:rPr>
          <w:rFonts w:ascii="Garamond" w:hAnsi="Garamond" w:cs="Times New Roman"/>
          <w:b/>
          <w:bCs/>
          <w:iCs/>
          <w:sz w:val="24"/>
          <w:szCs w:val="24"/>
        </w:rPr>
      </w:pPr>
    </w:p>
    <w:p w14:paraId="4FE8E5E8" w14:textId="21D275FE" w:rsidR="007873A7" w:rsidRPr="00661BB8" w:rsidRDefault="007873A7" w:rsidP="007873A7">
      <w:pPr>
        <w:spacing w:line="240" w:lineRule="auto"/>
        <w:contextualSpacing/>
        <w:rPr>
          <w:rFonts w:ascii="Garamond" w:hAnsi="Garamond" w:cs="Times New Roman"/>
          <w:b/>
          <w:bCs/>
          <w:iCs/>
          <w:sz w:val="24"/>
          <w:szCs w:val="24"/>
        </w:rPr>
      </w:pPr>
      <w:r w:rsidRPr="00661BB8">
        <w:rPr>
          <w:rFonts w:ascii="Garamond" w:hAnsi="Garamond" w:cs="Times New Roman"/>
          <w:b/>
          <w:bCs/>
          <w:iCs/>
          <w:sz w:val="24"/>
          <w:szCs w:val="24"/>
        </w:rPr>
        <w:lastRenderedPageBreak/>
        <w:t xml:space="preserve">Robert Adcock, “Measurement Validity: A Shared Standard for Qualitative and Quantitative Research,” </w:t>
      </w:r>
      <w:r w:rsidRPr="00661BB8">
        <w:rPr>
          <w:rFonts w:ascii="Garamond" w:hAnsi="Garamond" w:cs="Times New Roman"/>
          <w:b/>
          <w:bCs/>
          <w:i/>
          <w:iCs/>
          <w:sz w:val="24"/>
          <w:szCs w:val="24"/>
        </w:rPr>
        <w:t>American Political Science Review</w:t>
      </w:r>
      <w:r w:rsidRPr="00661BB8">
        <w:rPr>
          <w:rFonts w:ascii="Garamond" w:hAnsi="Garamond" w:cs="Times New Roman"/>
          <w:b/>
          <w:bCs/>
          <w:iCs/>
          <w:sz w:val="24"/>
          <w:szCs w:val="24"/>
        </w:rPr>
        <w:t xml:space="preserve"> 95, no. 3 (2001): 529–46.</w:t>
      </w:r>
    </w:p>
    <w:p w14:paraId="013E932F" w14:textId="58A11716" w:rsidR="00B84B57" w:rsidRPr="00661BB8" w:rsidRDefault="00B84B57" w:rsidP="007873A7">
      <w:pPr>
        <w:spacing w:line="240" w:lineRule="auto"/>
        <w:contextualSpacing/>
        <w:rPr>
          <w:rFonts w:ascii="Garamond" w:hAnsi="Garamond" w:cs="Times New Roman"/>
          <w:b/>
          <w:bCs/>
          <w:iCs/>
          <w:sz w:val="24"/>
          <w:szCs w:val="24"/>
        </w:rPr>
      </w:pPr>
    </w:p>
    <w:p w14:paraId="20698610" w14:textId="5D90B728" w:rsidR="003426B9" w:rsidRDefault="007873A7" w:rsidP="001F71B5">
      <w:pPr>
        <w:spacing w:line="240" w:lineRule="auto"/>
        <w:contextualSpacing/>
        <w:rPr>
          <w:rFonts w:ascii="Garamond" w:hAnsi="Garamond" w:cs="Times New Roman"/>
          <w:iCs/>
          <w:sz w:val="24"/>
          <w:szCs w:val="24"/>
        </w:rPr>
      </w:pPr>
      <w:r>
        <w:rPr>
          <w:rFonts w:ascii="Garamond" w:hAnsi="Garamond" w:cs="Times New Roman"/>
          <w:iCs/>
          <w:sz w:val="24"/>
          <w:szCs w:val="24"/>
        </w:rPr>
        <w:t>OPTIONAL:</w:t>
      </w:r>
    </w:p>
    <w:p w14:paraId="1BC87144" w14:textId="77777777" w:rsidR="000448CC" w:rsidRDefault="000448CC" w:rsidP="001F71B5">
      <w:pPr>
        <w:spacing w:line="240" w:lineRule="auto"/>
        <w:contextualSpacing/>
        <w:rPr>
          <w:rFonts w:ascii="Garamond" w:hAnsi="Garamond" w:cs="Times New Roman"/>
          <w:iCs/>
          <w:sz w:val="24"/>
          <w:szCs w:val="24"/>
        </w:rPr>
      </w:pPr>
    </w:p>
    <w:p w14:paraId="3212A6F8" w14:textId="77777777" w:rsidR="000448CC" w:rsidRPr="000448CC" w:rsidRDefault="000448CC" w:rsidP="000448CC">
      <w:pPr>
        <w:spacing w:line="240" w:lineRule="auto"/>
        <w:contextualSpacing/>
        <w:rPr>
          <w:rFonts w:ascii="Garamond" w:hAnsi="Garamond" w:cs="Times New Roman"/>
          <w:iCs/>
          <w:sz w:val="24"/>
          <w:szCs w:val="24"/>
        </w:rPr>
      </w:pPr>
      <w:r w:rsidRPr="000448CC">
        <w:rPr>
          <w:rFonts w:ascii="Garamond" w:hAnsi="Garamond" w:cs="Times New Roman"/>
          <w:iCs/>
          <w:sz w:val="24"/>
          <w:szCs w:val="24"/>
        </w:rPr>
        <w:t xml:space="preserve">Ariel I. Ahram, “Concepts and Measurement in Multimethod Research,” </w:t>
      </w:r>
      <w:r w:rsidRPr="000448CC">
        <w:rPr>
          <w:rFonts w:ascii="Garamond" w:hAnsi="Garamond" w:cs="Times New Roman"/>
          <w:i/>
          <w:iCs/>
          <w:sz w:val="24"/>
          <w:szCs w:val="24"/>
        </w:rPr>
        <w:t>Political Research Quarterly</w:t>
      </w:r>
      <w:r w:rsidRPr="000448CC">
        <w:rPr>
          <w:rFonts w:ascii="Garamond" w:hAnsi="Garamond" w:cs="Times New Roman"/>
          <w:iCs/>
          <w:sz w:val="24"/>
          <w:szCs w:val="24"/>
        </w:rPr>
        <w:t xml:space="preserve"> 66, no. 2 (June 2013): 280–91.</w:t>
      </w:r>
    </w:p>
    <w:p w14:paraId="4805D229" w14:textId="77777777" w:rsidR="009C06FD" w:rsidRDefault="009C06FD" w:rsidP="001F71B5">
      <w:pPr>
        <w:spacing w:line="240" w:lineRule="auto"/>
        <w:contextualSpacing/>
        <w:rPr>
          <w:rFonts w:ascii="Garamond" w:hAnsi="Garamond" w:cs="Times New Roman"/>
          <w:iCs/>
          <w:sz w:val="24"/>
          <w:szCs w:val="24"/>
        </w:rPr>
      </w:pPr>
    </w:p>
    <w:p w14:paraId="0B920436" w14:textId="77777777" w:rsidR="00117153" w:rsidRPr="00117153" w:rsidRDefault="00117153" w:rsidP="00117153">
      <w:pPr>
        <w:spacing w:line="240" w:lineRule="auto"/>
        <w:contextualSpacing/>
        <w:rPr>
          <w:rFonts w:ascii="Garamond" w:hAnsi="Garamond" w:cs="Times New Roman"/>
          <w:iCs/>
          <w:sz w:val="24"/>
          <w:szCs w:val="24"/>
        </w:rPr>
      </w:pPr>
      <w:r w:rsidRPr="00117153">
        <w:rPr>
          <w:rFonts w:ascii="Garamond" w:hAnsi="Garamond" w:cs="Times New Roman"/>
          <w:iCs/>
          <w:sz w:val="24"/>
          <w:szCs w:val="24"/>
        </w:rPr>
        <w:t xml:space="preserve">John Gerring, “Mere Description,” </w:t>
      </w:r>
      <w:r w:rsidRPr="00117153">
        <w:rPr>
          <w:rFonts w:ascii="Garamond" w:hAnsi="Garamond" w:cs="Times New Roman"/>
          <w:i/>
          <w:iCs/>
          <w:sz w:val="24"/>
          <w:szCs w:val="24"/>
        </w:rPr>
        <w:t>British Journal of Political Science</w:t>
      </w:r>
      <w:r w:rsidRPr="00117153">
        <w:rPr>
          <w:rFonts w:ascii="Garamond" w:hAnsi="Garamond" w:cs="Times New Roman"/>
          <w:iCs/>
          <w:sz w:val="24"/>
          <w:szCs w:val="24"/>
        </w:rPr>
        <w:t xml:space="preserve"> 42, no. 4 (October 2012): 721–46.</w:t>
      </w:r>
    </w:p>
    <w:p w14:paraId="77A838A5" w14:textId="77777777" w:rsidR="00117153" w:rsidRDefault="00117153" w:rsidP="001F71B5">
      <w:pPr>
        <w:spacing w:line="240" w:lineRule="auto"/>
        <w:contextualSpacing/>
        <w:rPr>
          <w:rFonts w:ascii="Garamond" w:hAnsi="Garamond" w:cs="Times New Roman"/>
          <w:iCs/>
          <w:sz w:val="24"/>
          <w:szCs w:val="24"/>
        </w:rPr>
      </w:pPr>
    </w:p>
    <w:p w14:paraId="0EA37D45" w14:textId="3793C525" w:rsidR="007873A7" w:rsidRPr="009C06FD" w:rsidRDefault="009C06FD" w:rsidP="009C06FD">
      <w:pPr>
        <w:rPr>
          <w:rFonts w:ascii="Garamond" w:hAnsi="Garamond" w:cs="Times New Roman"/>
          <w:sz w:val="24"/>
          <w:szCs w:val="24"/>
        </w:rPr>
      </w:pPr>
      <w:r w:rsidRPr="009C06FD">
        <w:rPr>
          <w:rFonts w:ascii="Garamond" w:hAnsi="Garamond" w:cs="Times New Roman"/>
          <w:sz w:val="24"/>
          <w:szCs w:val="24"/>
        </w:rPr>
        <w:t xml:space="preserve">William C. Wohlforth, “The Perception of Power: Russia in the Pre-1914 Balance,” </w:t>
      </w:r>
      <w:r w:rsidRPr="009C06FD">
        <w:rPr>
          <w:rFonts w:ascii="Garamond" w:hAnsi="Garamond" w:cs="Times New Roman"/>
          <w:i/>
          <w:iCs/>
          <w:sz w:val="24"/>
          <w:szCs w:val="24"/>
        </w:rPr>
        <w:t>World Politics</w:t>
      </w:r>
      <w:r w:rsidRPr="009C06FD">
        <w:rPr>
          <w:rFonts w:ascii="Garamond" w:hAnsi="Garamond" w:cs="Times New Roman"/>
          <w:sz w:val="24"/>
          <w:szCs w:val="24"/>
        </w:rPr>
        <w:t xml:space="preserve"> 39, no. 3 (April 1987): 353–81.</w:t>
      </w:r>
    </w:p>
    <w:p w14:paraId="177494BB" w14:textId="3EC28E1E" w:rsidR="00B92479" w:rsidRPr="00C55924" w:rsidRDefault="00B92479" w:rsidP="00B92479">
      <w:pPr>
        <w:spacing w:line="240" w:lineRule="auto"/>
        <w:contextualSpacing/>
        <w:rPr>
          <w:rFonts w:ascii="Garamond" w:hAnsi="Garamond" w:cs="Times New Roman"/>
          <w:bCs/>
          <w:iCs/>
          <w:sz w:val="24"/>
          <w:szCs w:val="24"/>
        </w:rPr>
      </w:pPr>
      <w:r>
        <w:rPr>
          <w:rFonts w:ascii="Garamond" w:hAnsi="Garamond" w:cs="Times New Roman"/>
          <w:bCs/>
          <w:iCs/>
          <w:sz w:val="24"/>
          <w:szCs w:val="24"/>
        </w:rPr>
        <w:t xml:space="preserve">Douglas McAdam, Sidney Tarrow, and Charles Tilly, “Methods for Measuring Mechanisms of Contention,” </w:t>
      </w:r>
      <w:r>
        <w:rPr>
          <w:rFonts w:ascii="Garamond" w:hAnsi="Garamond" w:cs="Times New Roman"/>
          <w:bCs/>
          <w:i/>
          <w:sz w:val="24"/>
          <w:szCs w:val="24"/>
        </w:rPr>
        <w:t>Qualitative Sociology</w:t>
      </w:r>
      <w:r w:rsidR="003F4B52">
        <w:rPr>
          <w:rFonts w:ascii="Garamond" w:hAnsi="Garamond" w:cs="Times New Roman"/>
          <w:bCs/>
          <w:iCs/>
          <w:sz w:val="24"/>
          <w:szCs w:val="24"/>
        </w:rPr>
        <w:t xml:space="preserve"> </w:t>
      </w:r>
      <w:r>
        <w:rPr>
          <w:rFonts w:ascii="Garamond" w:hAnsi="Garamond" w:cs="Times New Roman"/>
          <w:bCs/>
          <w:iCs/>
          <w:sz w:val="24"/>
          <w:szCs w:val="24"/>
        </w:rPr>
        <w:t>31</w:t>
      </w:r>
      <w:r w:rsidR="00A41D56">
        <w:rPr>
          <w:rFonts w:ascii="Garamond" w:hAnsi="Garamond" w:cs="Times New Roman"/>
          <w:bCs/>
          <w:iCs/>
          <w:sz w:val="24"/>
          <w:szCs w:val="24"/>
        </w:rPr>
        <w:t>, n</w:t>
      </w:r>
      <w:r w:rsidR="003F4B52">
        <w:rPr>
          <w:rFonts w:ascii="Garamond" w:hAnsi="Garamond" w:cs="Times New Roman"/>
          <w:bCs/>
          <w:iCs/>
          <w:sz w:val="24"/>
          <w:szCs w:val="24"/>
        </w:rPr>
        <w:t>o.</w:t>
      </w:r>
      <w:r>
        <w:rPr>
          <w:rFonts w:ascii="Garamond" w:hAnsi="Garamond" w:cs="Times New Roman"/>
          <w:bCs/>
          <w:iCs/>
          <w:sz w:val="24"/>
          <w:szCs w:val="24"/>
        </w:rPr>
        <w:t xml:space="preserve"> 4 (2008)</w:t>
      </w:r>
      <w:r w:rsidR="003F4B52">
        <w:rPr>
          <w:rFonts w:ascii="Garamond" w:hAnsi="Garamond" w:cs="Times New Roman"/>
          <w:bCs/>
          <w:iCs/>
          <w:sz w:val="24"/>
          <w:szCs w:val="24"/>
        </w:rPr>
        <w:t xml:space="preserve">: </w:t>
      </w:r>
      <w:r>
        <w:rPr>
          <w:rFonts w:ascii="Garamond" w:hAnsi="Garamond" w:cs="Times New Roman"/>
          <w:bCs/>
          <w:iCs/>
          <w:sz w:val="24"/>
          <w:szCs w:val="24"/>
        </w:rPr>
        <w:t>307</w:t>
      </w:r>
      <w:r w:rsidR="003F4B52">
        <w:rPr>
          <w:rFonts w:ascii="Garamond" w:hAnsi="Garamond" w:cs="Times New Roman"/>
          <w:bCs/>
          <w:iCs/>
          <w:sz w:val="24"/>
          <w:szCs w:val="24"/>
        </w:rPr>
        <w:t>–</w:t>
      </w:r>
      <w:r>
        <w:rPr>
          <w:rFonts w:ascii="Garamond" w:hAnsi="Garamond" w:cs="Times New Roman"/>
          <w:bCs/>
          <w:iCs/>
          <w:sz w:val="24"/>
          <w:szCs w:val="24"/>
        </w:rPr>
        <w:t>31</w:t>
      </w:r>
      <w:r w:rsidR="003F4B52">
        <w:rPr>
          <w:rFonts w:ascii="Garamond" w:hAnsi="Garamond" w:cs="Times New Roman"/>
          <w:bCs/>
          <w:iCs/>
          <w:sz w:val="24"/>
          <w:szCs w:val="24"/>
        </w:rPr>
        <w:t>.</w:t>
      </w:r>
    </w:p>
    <w:p w14:paraId="518286A7" w14:textId="77777777" w:rsidR="00B92479" w:rsidRDefault="00B92479" w:rsidP="001F71B5">
      <w:pPr>
        <w:spacing w:line="240" w:lineRule="auto"/>
        <w:contextualSpacing/>
        <w:rPr>
          <w:rFonts w:ascii="Garamond" w:hAnsi="Garamond" w:cs="Times New Roman"/>
          <w:iCs/>
          <w:sz w:val="24"/>
          <w:szCs w:val="24"/>
        </w:rPr>
      </w:pPr>
    </w:p>
    <w:p w14:paraId="2496677F" w14:textId="77777777" w:rsidR="007873A7" w:rsidRPr="007873A7" w:rsidRDefault="007873A7" w:rsidP="007873A7">
      <w:pPr>
        <w:spacing w:line="240" w:lineRule="auto"/>
        <w:contextualSpacing/>
        <w:rPr>
          <w:rFonts w:ascii="Garamond" w:hAnsi="Garamond" w:cs="Times New Roman"/>
          <w:bCs/>
          <w:iCs/>
          <w:sz w:val="24"/>
          <w:szCs w:val="24"/>
        </w:rPr>
      </w:pPr>
      <w:r w:rsidRPr="007873A7">
        <w:rPr>
          <w:rFonts w:ascii="Garamond" w:hAnsi="Garamond" w:cs="Times New Roman"/>
          <w:bCs/>
          <w:iCs/>
          <w:sz w:val="24"/>
          <w:szCs w:val="24"/>
        </w:rPr>
        <w:t xml:space="preserve">Colin Elman, “Explanatory Typologies in Qualitative Studies of International Politics,” </w:t>
      </w:r>
      <w:r w:rsidRPr="007873A7">
        <w:rPr>
          <w:rFonts w:ascii="Garamond" w:hAnsi="Garamond" w:cs="Times New Roman"/>
          <w:bCs/>
          <w:i/>
          <w:iCs/>
          <w:sz w:val="24"/>
          <w:szCs w:val="24"/>
        </w:rPr>
        <w:t>International Organization</w:t>
      </w:r>
      <w:r w:rsidRPr="007873A7">
        <w:rPr>
          <w:rFonts w:ascii="Garamond" w:hAnsi="Garamond" w:cs="Times New Roman"/>
          <w:bCs/>
          <w:iCs/>
          <w:sz w:val="24"/>
          <w:szCs w:val="24"/>
        </w:rPr>
        <w:t xml:space="preserve"> 59, no. 2 (Spring 2005): 293–326.</w:t>
      </w:r>
    </w:p>
    <w:p w14:paraId="52E48A31" w14:textId="77777777" w:rsidR="007873A7" w:rsidRPr="003072C7" w:rsidRDefault="007873A7" w:rsidP="001F71B5">
      <w:pPr>
        <w:spacing w:line="240" w:lineRule="auto"/>
        <w:contextualSpacing/>
        <w:rPr>
          <w:rFonts w:ascii="Garamond" w:hAnsi="Garamond" w:cs="Times New Roman"/>
          <w:iCs/>
          <w:sz w:val="24"/>
          <w:szCs w:val="24"/>
        </w:rPr>
      </w:pPr>
    </w:p>
    <w:p w14:paraId="4DDBE9AA" w14:textId="7DB4845E" w:rsidR="007873A7" w:rsidRDefault="007873A7" w:rsidP="007873A7">
      <w:pPr>
        <w:spacing w:line="240" w:lineRule="auto"/>
        <w:contextualSpacing/>
        <w:rPr>
          <w:rFonts w:ascii="Garamond" w:hAnsi="Garamond" w:cs="Times New Roman"/>
          <w:bCs/>
          <w:iCs/>
          <w:sz w:val="24"/>
          <w:szCs w:val="24"/>
        </w:rPr>
      </w:pPr>
      <w:r w:rsidRPr="007873A7">
        <w:rPr>
          <w:rFonts w:ascii="Garamond" w:hAnsi="Garamond" w:cs="Times New Roman"/>
          <w:bCs/>
          <w:iCs/>
          <w:sz w:val="24"/>
          <w:szCs w:val="24"/>
        </w:rPr>
        <w:t>Patrick M. Horan, “Theoretical Models in Social History Research” 11, no. 4 (Winter 1987): 379–400.</w:t>
      </w:r>
    </w:p>
    <w:p w14:paraId="0751865B" w14:textId="5D9C0907" w:rsidR="007873A7" w:rsidRDefault="007873A7" w:rsidP="007873A7">
      <w:pPr>
        <w:spacing w:line="240" w:lineRule="auto"/>
        <w:contextualSpacing/>
        <w:rPr>
          <w:rFonts w:ascii="Garamond" w:hAnsi="Garamond" w:cs="Times New Roman"/>
          <w:bCs/>
          <w:iCs/>
          <w:sz w:val="24"/>
          <w:szCs w:val="24"/>
        </w:rPr>
      </w:pPr>
    </w:p>
    <w:p w14:paraId="6C6512E1" w14:textId="7036724C" w:rsidR="007873A7" w:rsidRDefault="007873A7" w:rsidP="007873A7">
      <w:pPr>
        <w:spacing w:line="240" w:lineRule="auto"/>
        <w:contextualSpacing/>
        <w:rPr>
          <w:rFonts w:ascii="Garamond" w:hAnsi="Garamond" w:cs="Times New Roman"/>
          <w:bCs/>
          <w:iCs/>
          <w:sz w:val="24"/>
          <w:szCs w:val="24"/>
        </w:rPr>
      </w:pPr>
      <w:r w:rsidRPr="007873A7">
        <w:rPr>
          <w:rFonts w:ascii="Garamond" w:hAnsi="Garamond" w:cs="Times New Roman"/>
          <w:bCs/>
          <w:iCs/>
          <w:sz w:val="24"/>
          <w:szCs w:val="24"/>
        </w:rPr>
        <w:t xml:space="preserve">Reinhard Bendix, “Concepts and Generalizations in Comparative Sociological Studies,” </w:t>
      </w:r>
      <w:r w:rsidRPr="007873A7">
        <w:rPr>
          <w:rFonts w:ascii="Garamond" w:hAnsi="Garamond" w:cs="Times New Roman"/>
          <w:bCs/>
          <w:i/>
          <w:iCs/>
          <w:sz w:val="24"/>
          <w:szCs w:val="24"/>
        </w:rPr>
        <w:t>American Sociological Review</w:t>
      </w:r>
      <w:r w:rsidRPr="007873A7">
        <w:rPr>
          <w:rFonts w:ascii="Garamond" w:hAnsi="Garamond" w:cs="Times New Roman"/>
          <w:bCs/>
          <w:iCs/>
          <w:sz w:val="24"/>
          <w:szCs w:val="24"/>
        </w:rPr>
        <w:t xml:space="preserve"> 28, no. 4 (August 1963): 532–39.</w:t>
      </w:r>
    </w:p>
    <w:p w14:paraId="73CBB2C2" w14:textId="6895C512" w:rsidR="007873A7" w:rsidRDefault="007873A7" w:rsidP="007873A7">
      <w:pPr>
        <w:spacing w:line="240" w:lineRule="auto"/>
        <w:contextualSpacing/>
        <w:rPr>
          <w:rFonts w:ascii="Garamond" w:hAnsi="Garamond" w:cs="Times New Roman"/>
          <w:bCs/>
          <w:iCs/>
          <w:sz w:val="24"/>
          <w:szCs w:val="24"/>
        </w:rPr>
      </w:pPr>
    </w:p>
    <w:p w14:paraId="6A555B1D" w14:textId="77777777" w:rsidR="007873A7" w:rsidRPr="007873A7" w:rsidRDefault="007873A7" w:rsidP="007873A7">
      <w:pPr>
        <w:spacing w:line="240" w:lineRule="auto"/>
        <w:contextualSpacing/>
        <w:rPr>
          <w:rFonts w:ascii="Garamond" w:hAnsi="Garamond" w:cs="Times New Roman"/>
          <w:bCs/>
          <w:iCs/>
          <w:sz w:val="24"/>
          <w:szCs w:val="24"/>
        </w:rPr>
      </w:pPr>
      <w:r w:rsidRPr="007873A7">
        <w:rPr>
          <w:rFonts w:ascii="Garamond" w:hAnsi="Garamond" w:cs="Times New Roman"/>
          <w:bCs/>
          <w:iCs/>
          <w:sz w:val="24"/>
          <w:szCs w:val="24"/>
        </w:rPr>
        <w:t xml:space="preserve">Ryan Saylor, “Concepts, Measures, and Measuring Well: An Alternative Outlook,” </w:t>
      </w:r>
      <w:r w:rsidRPr="007873A7">
        <w:rPr>
          <w:rFonts w:ascii="Garamond" w:hAnsi="Garamond" w:cs="Times New Roman"/>
          <w:bCs/>
          <w:i/>
          <w:iCs/>
          <w:sz w:val="24"/>
          <w:szCs w:val="24"/>
        </w:rPr>
        <w:t>Sociological Methods and Research</w:t>
      </w:r>
      <w:r w:rsidRPr="007873A7">
        <w:rPr>
          <w:rFonts w:ascii="Garamond" w:hAnsi="Garamond" w:cs="Times New Roman"/>
          <w:bCs/>
          <w:iCs/>
          <w:sz w:val="24"/>
          <w:szCs w:val="24"/>
        </w:rPr>
        <w:t xml:space="preserve"> 42, no. 3 (2013): 354–91.</w:t>
      </w:r>
    </w:p>
    <w:p w14:paraId="01486FD6" w14:textId="0A4BD287" w:rsidR="001F71B5" w:rsidRDefault="001F71B5" w:rsidP="001F71B5">
      <w:pPr>
        <w:spacing w:line="240" w:lineRule="auto"/>
        <w:contextualSpacing/>
        <w:rPr>
          <w:rFonts w:ascii="Garamond" w:hAnsi="Garamond" w:cs="Times New Roman"/>
          <w:b/>
          <w:iCs/>
          <w:sz w:val="24"/>
          <w:szCs w:val="24"/>
        </w:rPr>
      </w:pPr>
    </w:p>
    <w:p w14:paraId="5DBC22A8" w14:textId="060BD262" w:rsidR="00D64256" w:rsidRPr="00661BB8" w:rsidRDefault="00D64256" w:rsidP="00D64256">
      <w:pPr>
        <w:spacing w:line="240" w:lineRule="auto"/>
        <w:contextualSpacing/>
        <w:rPr>
          <w:rFonts w:ascii="Garamond" w:hAnsi="Garamond" w:cs="Times New Roman"/>
          <w:b/>
          <w:i/>
          <w:sz w:val="24"/>
          <w:szCs w:val="24"/>
        </w:rPr>
      </w:pPr>
      <w:r w:rsidRPr="00661BB8">
        <w:rPr>
          <w:rFonts w:ascii="Garamond" w:hAnsi="Garamond" w:cs="Times New Roman"/>
          <w:b/>
          <w:i/>
          <w:sz w:val="24"/>
          <w:szCs w:val="24"/>
        </w:rPr>
        <w:t xml:space="preserve">How do I find and analyze memoirs and oral histories? </w:t>
      </w:r>
    </w:p>
    <w:p w14:paraId="6CCCC0C2" w14:textId="77777777" w:rsidR="00D64256" w:rsidRPr="00661BB8" w:rsidRDefault="00D64256" w:rsidP="00D64256">
      <w:pPr>
        <w:spacing w:line="240" w:lineRule="auto"/>
        <w:contextualSpacing/>
        <w:rPr>
          <w:rFonts w:ascii="Garamond" w:hAnsi="Garamond" w:cs="Times New Roman"/>
          <w:b/>
          <w:iCs/>
          <w:sz w:val="24"/>
          <w:szCs w:val="24"/>
        </w:rPr>
      </w:pPr>
    </w:p>
    <w:p w14:paraId="158A7867" w14:textId="1F637725" w:rsidR="00D64256" w:rsidRPr="00661BB8" w:rsidRDefault="00D64256" w:rsidP="00D64256">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Gregor Benton, </w:t>
      </w:r>
      <w:r w:rsidRPr="00661BB8">
        <w:rPr>
          <w:rFonts w:ascii="Garamond" w:hAnsi="Garamond" w:cs="Times New Roman"/>
          <w:b/>
          <w:i/>
          <w:iCs/>
          <w:sz w:val="24"/>
          <w:szCs w:val="24"/>
        </w:rPr>
        <w:t>Mountain Fires: The Red Army’s Three-Year War in South China</w:t>
      </w:r>
      <w:r w:rsidRPr="00661BB8">
        <w:rPr>
          <w:rFonts w:ascii="Garamond" w:hAnsi="Garamond" w:cs="Times New Roman"/>
          <w:b/>
          <w:iCs/>
          <w:sz w:val="24"/>
          <w:szCs w:val="24"/>
        </w:rPr>
        <w:t xml:space="preserve"> (Berkeley: University of California Press, 1992), xv</w:t>
      </w:r>
      <w:r w:rsidR="00A41D56">
        <w:rPr>
          <w:rFonts w:ascii="Garamond" w:hAnsi="Garamond" w:cs="Times New Roman"/>
          <w:b/>
          <w:iCs/>
          <w:sz w:val="24"/>
          <w:szCs w:val="24"/>
        </w:rPr>
        <w:t>–</w:t>
      </w:r>
      <w:r w:rsidRPr="00661BB8">
        <w:rPr>
          <w:rFonts w:ascii="Garamond" w:hAnsi="Garamond" w:cs="Times New Roman"/>
          <w:b/>
          <w:iCs/>
          <w:sz w:val="24"/>
          <w:szCs w:val="24"/>
        </w:rPr>
        <w:t>xxv</w:t>
      </w:r>
      <w:r w:rsidR="00A41D56">
        <w:rPr>
          <w:rFonts w:ascii="Garamond" w:hAnsi="Garamond" w:cs="Times New Roman"/>
          <w:b/>
          <w:iCs/>
          <w:sz w:val="24"/>
          <w:szCs w:val="24"/>
        </w:rPr>
        <w:t xml:space="preserve">, </w:t>
      </w:r>
      <w:r w:rsidRPr="00661BB8">
        <w:rPr>
          <w:rFonts w:ascii="Garamond" w:hAnsi="Garamond" w:cs="Times New Roman"/>
          <w:b/>
          <w:iCs/>
          <w:sz w:val="24"/>
          <w:szCs w:val="24"/>
        </w:rPr>
        <w:t>69</w:t>
      </w:r>
      <w:r w:rsidR="00A41D56">
        <w:rPr>
          <w:rFonts w:ascii="Garamond" w:hAnsi="Garamond" w:cs="Times New Roman"/>
          <w:b/>
          <w:iCs/>
          <w:sz w:val="24"/>
          <w:szCs w:val="24"/>
        </w:rPr>
        <w:t>–</w:t>
      </w:r>
      <w:r w:rsidRPr="00661BB8">
        <w:rPr>
          <w:rFonts w:ascii="Garamond" w:hAnsi="Garamond" w:cs="Times New Roman"/>
          <w:b/>
          <w:iCs/>
          <w:sz w:val="24"/>
          <w:szCs w:val="24"/>
        </w:rPr>
        <w:t>82</w:t>
      </w:r>
      <w:r w:rsidR="00A41D56">
        <w:rPr>
          <w:rFonts w:ascii="Garamond" w:hAnsi="Garamond" w:cs="Times New Roman"/>
          <w:b/>
          <w:iCs/>
          <w:sz w:val="24"/>
          <w:szCs w:val="24"/>
        </w:rPr>
        <w:t xml:space="preserve"> (Preface and </w:t>
      </w:r>
      <w:r w:rsidR="00A41D56" w:rsidRPr="00661BB8">
        <w:rPr>
          <w:rFonts w:ascii="Garamond" w:hAnsi="Garamond" w:cs="Times New Roman"/>
          <w:b/>
          <w:iCs/>
          <w:sz w:val="24"/>
          <w:szCs w:val="24"/>
        </w:rPr>
        <w:t xml:space="preserve">Chapter </w:t>
      </w:r>
      <w:r w:rsidR="00A41D56">
        <w:rPr>
          <w:rFonts w:ascii="Garamond" w:hAnsi="Garamond" w:cs="Times New Roman"/>
          <w:b/>
          <w:iCs/>
          <w:sz w:val="24"/>
          <w:szCs w:val="24"/>
        </w:rPr>
        <w:t>2)</w:t>
      </w:r>
      <w:r w:rsidRPr="00661BB8">
        <w:rPr>
          <w:rFonts w:ascii="Garamond" w:hAnsi="Garamond" w:cs="Times New Roman"/>
          <w:b/>
          <w:iCs/>
          <w:sz w:val="24"/>
          <w:szCs w:val="24"/>
        </w:rPr>
        <w:t>.</w:t>
      </w:r>
    </w:p>
    <w:p w14:paraId="34C2E2E4" w14:textId="33870C76" w:rsidR="009253E7" w:rsidRPr="00661BB8" w:rsidRDefault="009253E7" w:rsidP="00D64256">
      <w:pPr>
        <w:spacing w:line="240" w:lineRule="auto"/>
        <w:contextualSpacing/>
        <w:rPr>
          <w:rFonts w:ascii="Garamond" w:hAnsi="Garamond" w:cs="Times New Roman"/>
          <w:b/>
          <w:iCs/>
          <w:sz w:val="24"/>
          <w:szCs w:val="24"/>
        </w:rPr>
      </w:pPr>
    </w:p>
    <w:p w14:paraId="5EF5D738" w14:textId="1E5995F4" w:rsidR="009253E7" w:rsidRDefault="009253E7" w:rsidP="00D64256">
      <w:pPr>
        <w:spacing w:line="240" w:lineRule="auto"/>
        <w:contextualSpacing/>
        <w:rPr>
          <w:rFonts w:ascii="Garamond" w:hAnsi="Garamond" w:cs="Times New Roman"/>
          <w:bCs/>
          <w:iCs/>
          <w:sz w:val="24"/>
          <w:szCs w:val="24"/>
        </w:rPr>
      </w:pPr>
      <w:r>
        <w:rPr>
          <w:rFonts w:ascii="Garamond" w:hAnsi="Garamond" w:cs="Times New Roman"/>
          <w:bCs/>
          <w:iCs/>
          <w:sz w:val="24"/>
          <w:szCs w:val="24"/>
        </w:rPr>
        <w:t>OPTIONAL:</w:t>
      </w:r>
    </w:p>
    <w:p w14:paraId="6DDA736D" w14:textId="708B08DE" w:rsidR="009253E7" w:rsidRDefault="009253E7" w:rsidP="00D64256">
      <w:pPr>
        <w:spacing w:line="240" w:lineRule="auto"/>
        <w:contextualSpacing/>
        <w:rPr>
          <w:rFonts w:ascii="Garamond" w:hAnsi="Garamond" w:cs="Times New Roman"/>
          <w:bCs/>
          <w:iCs/>
          <w:sz w:val="24"/>
          <w:szCs w:val="24"/>
        </w:rPr>
      </w:pPr>
    </w:p>
    <w:p w14:paraId="19D83A2B" w14:textId="418D6C1B" w:rsidR="00D64256" w:rsidRDefault="009253E7" w:rsidP="001F71B5">
      <w:pPr>
        <w:spacing w:line="240" w:lineRule="auto"/>
        <w:contextualSpacing/>
        <w:rPr>
          <w:rFonts w:ascii="Garamond" w:hAnsi="Garamond" w:cs="Times New Roman"/>
          <w:bCs/>
          <w:iCs/>
          <w:sz w:val="24"/>
          <w:szCs w:val="24"/>
        </w:rPr>
      </w:pPr>
      <w:r w:rsidRPr="009253E7">
        <w:rPr>
          <w:rFonts w:ascii="Garamond" w:hAnsi="Garamond" w:cs="Times New Roman"/>
          <w:bCs/>
          <w:iCs/>
          <w:sz w:val="24"/>
          <w:szCs w:val="24"/>
        </w:rPr>
        <w:t xml:space="preserve">Jay Bergman, “The Memoirs of Soviet Defectors: Are They a Reliable Source about the Soviet Union?,” </w:t>
      </w:r>
      <w:r w:rsidRPr="009253E7">
        <w:rPr>
          <w:rFonts w:ascii="Garamond" w:hAnsi="Garamond" w:cs="Times New Roman"/>
          <w:bCs/>
          <w:i/>
          <w:iCs/>
          <w:sz w:val="24"/>
          <w:szCs w:val="24"/>
        </w:rPr>
        <w:t>Canadian Slavonic Papers</w:t>
      </w:r>
      <w:r w:rsidRPr="009253E7">
        <w:rPr>
          <w:rFonts w:ascii="Garamond" w:hAnsi="Garamond" w:cs="Times New Roman"/>
          <w:bCs/>
          <w:iCs/>
          <w:sz w:val="24"/>
          <w:szCs w:val="24"/>
        </w:rPr>
        <w:t xml:space="preserve"> 31, no. 1 (March 1989): 1–24.</w:t>
      </w:r>
    </w:p>
    <w:p w14:paraId="7EE1D3F2" w14:textId="77777777" w:rsidR="005A1DE0" w:rsidRPr="009253E7" w:rsidRDefault="005A1DE0" w:rsidP="001F71B5">
      <w:pPr>
        <w:spacing w:line="240" w:lineRule="auto"/>
        <w:contextualSpacing/>
        <w:rPr>
          <w:rFonts w:ascii="Garamond" w:hAnsi="Garamond" w:cs="Times New Roman"/>
          <w:bCs/>
          <w:iCs/>
          <w:sz w:val="24"/>
          <w:szCs w:val="24"/>
        </w:rPr>
      </w:pPr>
    </w:p>
    <w:p w14:paraId="52F72867" w14:textId="77777777" w:rsidR="001F71B5" w:rsidRDefault="001F71B5" w:rsidP="001F71B5">
      <w:pPr>
        <w:spacing w:line="240" w:lineRule="auto"/>
        <w:contextualSpacing/>
        <w:rPr>
          <w:rFonts w:ascii="Garamond" w:hAnsi="Garamond" w:cs="Times New Roman"/>
          <w:b/>
          <w:i/>
          <w:sz w:val="24"/>
          <w:szCs w:val="24"/>
        </w:rPr>
      </w:pPr>
    </w:p>
    <w:p w14:paraId="14F55EF1" w14:textId="5CBFBC48" w:rsidR="001F71B5" w:rsidRPr="00087827" w:rsidRDefault="00087827" w:rsidP="001F71B5">
      <w:pPr>
        <w:spacing w:line="240" w:lineRule="auto"/>
        <w:contextualSpacing/>
        <w:rPr>
          <w:rFonts w:ascii="Garamond" w:hAnsi="Garamond" w:cs="Times New Roman"/>
          <w:b/>
          <w:i/>
          <w:sz w:val="24"/>
          <w:szCs w:val="24"/>
        </w:rPr>
      </w:pPr>
      <w:r>
        <w:rPr>
          <w:rFonts w:ascii="Garamond" w:hAnsi="Garamond" w:cs="Times New Roman"/>
          <w:b/>
          <w:i/>
          <w:sz w:val="24"/>
          <w:szCs w:val="24"/>
        </w:rPr>
        <w:t xml:space="preserve">April 24: </w:t>
      </w:r>
    </w:p>
    <w:p w14:paraId="244804D1" w14:textId="77777777" w:rsidR="001F71B5" w:rsidRDefault="001F71B5" w:rsidP="001F71B5">
      <w:pPr>
        <w:spacing w:line="240" w:lineRule="auto"/>
        <w:contextualSpacing/>
        <w:rPr>
          <w:rFonts w:ascii="Garamond" w:hAnsi="Garamond" w:cs="Times New Roman"/>
          <w:sz w:val="24"/>
          <w:szCs w:val="24"/>
        </w:rPr>
      </w:pPr>
    </w:p>
    <w:p w14:paraId="48653340" w14:textId="5B771109" w:rsidR="00BA4DAD" w:rsidRPr="00661BB8" w:rsidRDefault="00BA4DAD" w:rsidP="00BA4DAD">
      <w:pPr>
        <w:spacing w:line="240" w:lineRule="auto"/>
        <w:contextualSpacing/>
        <w:rPr>
          <w:rFonts w:ascii="Garamond" w:hAnsi="Garamond" w:cs="Times New Roman"/>
          <w:b/>
          <w:i/>
          <w:sz w:val="24"/>
          <w:szCs w:val="24"/>
        </w:rPr>
      </w:pPr>
      <w:r w:rsidRPr="00661BB8">
        <w:rPr>
          <w:rFonts w:ascii="Garamond" w:hAnsi="Garamond" w:cs="Times New Roman"/>
          <w:b/>
          <w:i/>
          <w:sz w:val="24"/>
          <w:szCs w:val="24"/>
        </w:rPr>
        <w:t>Case selection and comparative method</w:t>
      </w:r>
    </w:p>
    <w:p w14:paraId="01D56535" w14:textId="72985B0C" w:rsidR="006365FB" w:rsidRPr="00661BB8" w:rsidRDefault="006365FB" w:rsidP="00BA4DAD">
      <w:pPr>
        <w:spacing w:line="240" w:lineRule="auto"/>
        <w:contextualSpacing/>
        <w:rPr>
          <w:rFonts w:ascii="Garamond" w:hAnsi="Garamond" w:cs="Times New Roman"/>
          <w:b/>
          <w:i/>
          <w:sz w:val="24"/>
          <w:szCs w:val="24"/>
        </w:rPr>
      </w:pPr>
    </w:p>
    <w:p w14:paraId="47D910AB" w14:textId="5C341E25" w:rsidR="009E74E8" w:rsidRPr="00A308F8" w:rsidRDefault="009E74E8" w:rsidP="00B92479">
      <w:pPr>
        <w:spacing w:line="240" w:lineRule="auto"/>
        <w:contextualSpacing/>
        <w:rPr>
          <w:rFonts w:ascii="Garamond" w:hAnsi="Garamond" w:cs="Times New Roman"/>
          <w:bCs/>
          <w:iCs/>
          <w:sz w:val="24"/>
          <w:szCs w:val="24"/>
        </w:rPr>
      </w:pPr>
      <w:r>
        <w:rPr>
          <w:rFonts w:ascii="Garamond" w:hAnsi="Garamond" w:cs="Times New Roman"/>
          <w:b/>
          <w:iCs/>
          <w:sz w:val="24"/>
          <w:szCs w:val="24"/>
        </w:rPr>
        <w:t xml:space="preserve">Carsten Q. Schneider and Claudius Wagemann, </w:t>
      </w:r>
      <w:r>
        <w:rPr>
          <w:rFonts w:ascii="Garamond" w:hAnsi="Garamond" w:cs="Times New Roman"/>
          <w:b/>
          <w:i/>
          <w:sz w:val="24"/>
          <w:szCs w:val="24"/>
        </w:rPr>
        <w:t xml:space="preserve">Set-Theoretic Methods for the Social Sciences: A Guide to Qualitative </w:t>
      </w:r>
      <w:r w:rsidR="00A308F8">
        <w:rPr>
          <w:rFonts w:ascii="Garamond" w:hAnsi="Garamond" w:cs="Times New Roman"/>
          <w:b/>
          <w:i/>
          <w:sz w:val="24"/>
          <w:szCs w:val="24"/>
        </w:rPr>
        <w:t>Comparative Analysis</w:t>
      </w:r>
      <w:r w:rsidR="00A308F8">
        <w:rPr>
          <w:rFonts w:ascii="Garamond" w:hAnsi="Garamond" w:cs="Times New Roman"/>
          <w:bCs/>
          <w:i/>
          <w:sz w:val="24"/>
          <w:szCs w:val="24"/>
        </w:rPr>
        <w:t xml:space="preserve"> </w:t>
      </w:r>
      <w:r w:rsidR="00A308F8">
        <w:rPr>
          <w:rFonts w:ascii="Garamond" w:hAnsi="Garamond" w:cs="Times New Roman"/>
          <w:b/>
          <w:iCs/>
          <w:sz w:val="24"/>
          <w:szCs w:val="24"/>
        </w:rPr>
        <w:t>(Cambridge: Cambridge University Press</w:t>
      </w:r>
      <w:r w:rsidR="001C4EA6">
        <w:rPr>
          <w:rFonts w:ascii="Garamond" w:hAnsi="Garamond" w:cs="Times New Roman"/>
          <w:b/>
          <w:iCs/>
          <w:sz w:val="24"/>
          <w:szCs w:val="24"/>
        </w:rPr>
        <w:t>, 2012) (Introduction</w:t>
      </w:r>
      <w:r w:rsidR="005333AC">
        <w:rPr>
          <w:rFonts w:ascii="Garamond" w:hAnsi="Garamond" w:cs="Times New Roman"/>
          <w:b/>
          <w:iCs/>
          <w:sz w:val="24"/>
          <w:szCs w:val="24"/>
        </w:rPr>
        <w:t xml:space="preserve"> and Chapter 1</w:t>
      </w:r>
      <w:r w:rsidR="001C4EA6">
        <w:rPr>
          <w:rFonts w:ascii="Garamond" w:hAnsi="Garamond" w:cs="Times New Roman"/>
          <w:b/>
          <w:iCs/>
          <w:sz w:val="24"/>
          <w:szCs w:val="24"/>
        </w:rPr>
        <w:t>)</w:t>
      </w:r>
    </w:p>
    <w:p w14:paraId="47C6DAE5" w14:textId="77777777" w:rsidR="009E74E8" w:rsidRDefault="009E74E8" w:rsidP="00B92479">
      <w:pPr>
        <w:spacing w:line="240" w:lineRule="auto"/>
        <w:contextualSpacing/>
        <w:rPr>
          <w:rFonts w:ascii="Garamond" w:hAnsi="Garamond" w:cs="Times New Roman"/>
          <w:b/>
          <w:iCs/>
          <w:sz w:val="24"/>
          <w:szCs w:val="24"/>
        </w:rPr>
      </w:pPr>
    </w:p>
    <w:p w14:paraId="6D10B3E2" w14:textId="6D6145FD" w:rsidR="007F1095" w:rsidRDefault="007F1095" w:rsidP="00B92479">
      <w:pPr>
        <w:spacing w:line="240" w:lineRule="auto"/>
        <w:contextualSpacing/>
        <w:rPr>
          <w:rFonts w:ascii="Garamond" w:hAnsi="Garamond" w:cs="Times New Roman"/>
          <w:b/>
          <w:iCs/>
          <w:sz w:val="24"/>
          <w:szCs w:val="24"/>
        </w:rPr>
      </w:pPr>
      <w:r w:rsidRPr="00C66E6F">
        <w:rPr>
          <w:rFonts w:ascii="Garamond" w:hAnsi="Garamond" w:cs="Times New Roman"/>
          <w:b/>
          <w:iCs/>
          <w:sz w:val="24"/>
          <w:szCs w:val="24"/>
        </w:rPr>
        <w:lastRenderedPageBreak/>
        <w:t>Daniela</w:t>
      </w:r>
      <w:r>
        <w:rPr>
          <w:rFonts w:ascii="Garamond" w:hAnsi="Garamond" w:cs="Times New Roman"/>
          <w:b/>
          <w:iCs/>
          <w:sz w:val="24"/>
          <w:szCs w:val="24"/>
        </w:rPr>
        <w:t xml:space="preserve"> Lai</w:t>
      </w:r>
      <w:r w:rsidRPr="00C66E6F">
        <w:rPr>
          <w:rFonts w:ascii="Garamond" w:hAnsi="Garamond" w:cs="Times New Roman"/>
          <w:b/>
          <w:iCs/>
          <w:sz w:val="24"/>
          <w:szCs w:val="24"/>
        </w:rPr>
        <w:t xml:space="preserve"> and Roberto Roccu</w:t>
      </w:r>
      <w:r w:rsidR="003305B8">
        <w:rPr>
          <w:rFonts w:ascii="Garamond" w:hAnsi="Garamond" w:cs="Times New Roman"/>
          <w:b/>
          <w:iCs/>
          <w:sz w:val="24"/>
          <w:szCs w:val="24"/>
        </w:rPr>
        <w:t>,</w:t>
      </w:r>
      <w:r w:rsidRPr="00C66E6F">
        <w:rPr>
          <w:rFonts w:ascii="Garamond" w:hAnsi="Garamond" w:cs="Times New Roman"/>
          <w:b/>
          <w:iCs/>
          <w:sz w:val="24"/>
          <w:szCs w:val="24"/>
        </w:rPr>
        <w:t xml:space="preserve"> “Case Study Research and Critical IR: The Case for the Extended Case Methodology</w:t>
      </w:r>
      <w:r w:rsidR="003305B8">
        <w:rPr>
          <w:rFonts w:ascii="Garamond" w:hAnsi="Garamond" w:cs="Times New Roman"/>
          <w:b/>
          <w:iCs/>
          <w:sz w:val="24"/>
          <w:szCs w:val="24"/>
        </w:rPr>
        <w:t>,</w:t>
      </w:r>
      <w:r w:rsidRPr="00C66E6F">
        <w:rPr>
          <w:rFonts w:ascii="Garamond" w:hAnsi="Garamond" w:cs="Times New Roman"/>
          <w:b/>
          <w:iCs/>
          <w:sz w:val="24"/>
          <w:szCs w:val="24"/>
        </w:rPr>
        <w:t xml:space="preserve">” </w:t>
      </w:r>
      <w:r w:rsidRPr="007F1095">
        <w:rPr>
          <w:rFonts w:ascii="Garamond" w:hAnsi="Garamond" w:cs="Times New Roman"/>
          <w:b/>
          <w:i/>
          <w:sz w:val="24"/>
          <w:szCs w:val="24"/>
        </w:rPr>
        <w:t>International Relations</w:t>
      </w:r>
      <w:r w:rsidR="003305B8">
        <w:rPr>
          <w:rFonts w:ascii="Garamond" w:hAnsi="Garamond" w:cs="Times New Roman"/>
          <w:b/>
          <w:i/>
          <w:sz w:val="24"/>
          <w:szCs w:val="24"/>
        </w:rPr>
        <w:t xml:space="preserve"> </w:t>
      </w:r>
      <w:r w:rsidR="003305B8" w:rsidRPr="009F0989">
        <w:rPr>
          <w:rFonts w:ascii="Garamond" w:hAnsi="Garamond" w:cs="Times New Roman"/>
          <w:b/>
          <w:iCs/>
          <w:sz w:val="24"/>
          <w:szCs w:val="24"/>
        </w:rPr>
        <w:t>33</w:t>
      </w:r>
      <w:r w:rsidRPr="00C66E6F">
        <w:rPr>
          <w:rFonts w:ascii="Garamond" w:hAnsi="Garamond" w:cs="Times New Roman"/>
          <w:b/>
          <w:iCs/>
          <w:sz w:val="24"/>
          <w:szCs w:val="24"/>
        </w:rPr>
        <w:t>,</w:t>
      </w:r>
      <w:r w:rsidR="003305B8">
        <w:rPr>
          <w:rFonts w:ascii="Garamond" w:hAnsi="Garamond" w:cs="Times New Roman"/>
          <w:b/>
          <w:iCs/>
          <w:sz w:val="24"/>
          <w:szCs w:val="24"/>
        </w:rPr>
        <w:t xml:space="preserve"> no. 1</w:t>
      </w:r>
      <w:r w:rsidRPr="00C66E6F">
        <w:rPr>
          <w:rFonts w:ascii="Garamond" w:hAnsi="Garamond" w:cs="Times New Roman"/>
          <w:b/>
          <w:iCs/>
          <w:sz w:val="24"/>
          <w:szCs w:val="24"/>
        </w:rPr>
        <w:t xml:space="preserve"> </w:t>
      </w:r>
      <w:r w:rsidR="003305B8">
        <w:rPr>
          <w:rFonts w:ascii="Garamond" w:hAnsi="Garamond" w:cs="Times New Roman"/>
          <w:b/>
          <w:iCs/>
          <w:sz w:val="24"/>
          <w:szCs w:val="24"/>
        </w:rPr>
        <w:t>(</w:t>
      </w:r>
      <w:r w:rsidRPr="00C66E6F">
        <w:rPr>
          <w:rFonts w:ascii="Garamond" w:hAnsi="Garamond" w:cs="Times New Roman"/>
          <w:b/>
          <w:iCs/>
          <w:sz w:val="24"/>
          <w:szCs w:val="24"/>
        </w:rPr>
        <w:t>January 7, 2019</w:t>
      </w:r>
      <w:r w:rsidR="003305B8">
        <w:rPr>
          <w:rFonts w:ascii="Garamond" w:hAnsi="Garamond" w:cs="Times New Roman"/>
          <w:b/>
          <w:iCs/>
          <w:sz w:val="24"/>
          <w:szCs w:val="24"/>
        </w:rPr>
        <w:t xml:space="preserve">): </w:t>
      </w:r>
      <w:r w:rsidR="003F085E">
        <w:rPr>
          <w:rFonts w:ascii="Garamond" w:hAnsi="Garamond" w:cs="Times New Roman"/>
          <w:b/>
          <w:iCs/>
          <w:sz w:val="24"/>
          <w:szCs w:val="24"/>
        </w:rPr>
        <w:t>67–87</w:t>
      </w:r>
      <w:r w:rsidR="003305B8">
        <w:rPr>
          <w:rFonts w:ascii="Garamond" w:hAnsi="Garamond" w:cs="Times New Roman"/>
          <w:b/>
          <w:iCs/>
          <w:sz w:val="24"/>
          <w:szCs w:val="24"/>
        </w:rPr>
        <w:t xml:space="preserve">. </w:t>
      </w:r>
    </w:p>
    <w:p w14:paraId="7B615A04" w14:textId="60C739AC" w:rsidR="00D57091" w:rsidRPr="00661BB8" w:rsidRDefault="00D57091" w:rsidP="00BA4DAD">
      <w:pPr>
        <w:spacing w:line="240" w:lineRule="auto"/>
        <w:contextualSpacing/>
        <w:rPr>
          <w:rFonts w:ascii="Garamond" w:hAnsi="Garamond" w:cs="Times New Roman"/>
          <w:b/>
          <w:i/>
          <w:sz w:val="24"/>
          <w:szCs w:val="24"/>
        </w:rPr>
      </w:pPr>
    </w:p>
    <w:p w14:paraId="1977DEA2" w14:textId="03205B43" w:rsidR="00D57091" w:rsidRPr="00661BB8" w:rsidRDefault="008452CC" w:rsidP="008452CC">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Dan Slater and Daniel Ziblatt, “The Enduring Indispensability of the Controlled Comparison,” </w:t>
      </w:r>
      <w:r w:rsidRPr="00661BB8">
        <w:rPr>
          <w:rFonts w:ascii="Garamond" w:hAnsi="Garamond" w:cs="Times New Roman"/>
          <w:b/>
          <w:i/>
          <w:iCs/>
          <w:sz w:val="24"/>
          <w:szCs w:val="24"/>
        </w:rPr>
        <w:t>Comparative Political Studies</w:t>
      </w:r>
      <w:r w:rsidR="00C712B9">
        <w:rPr>
          <w:rFonts w:ascii="Garamond" w:hAnsi="Garamond" w:cs="Times New Roman"/>
          <w:b/>
          <w:i/>
          <w:iCs/>
          <w:sz w:val="24"/>
          <w:szCs w:val="24"/>
        </w:rPr>
        <w:t xml:space="preserve"> </w:t>
      </w:r>
      <w:r w:rsidR="00C712B9">
        <w:rPr>
          <w:rFonts w:ascii="Garamond" w:hAnsi="Garamond" w:cs="Times New Roman"/>
          <w:b/>
          <w:sz w:val="24"/>
          <w:szCs w:val="24"/>
        </w:rPr>
        <w:t>46, no. 10</w:t>
      </w:r>
      <w:r w:rsidRPr="00661BB8">
        <w:rPr>
          <w:rFonts w:ascii="Garamond" w:hAnsi="Garamond" w:cs="Times New Roman"/>
          <w:b/>
          <w:iCs/>
          <w:sz w:val="24"/>
          <w:szCs w:val="24"/>
        </w:rPr>
        <w:t xml:space="preserve"> </w:t>
      </w:r>
      <w:r w:rsidR="00C712B9">
        <w:rPr>
          <w:rFonts w:ascii="Garamond" w:hAnsi="Garamond" w:cs="Times New Roman"/>
          <w:b/>
          <w:iCs/>
          <w:sz w:val="24"/>
          <w:szCs w:val="24"/>
        </w:rPr>
        <w:t>(</w:t>
      </w:r>
      <w:r w:rsidRPr="00661BB8">
        <w:rPr>
          <w:rFonts w:ascii="Garamond" w:hAnsi="Garamond" w:cs="Times New Roman"/>
          <w:b/>
          <w:iCs/>
          <w:sz w:val="24"/>
          <w:szCs w:val="24"/>
        </w:rPr>
        <w:t>January 16, 2013</w:t>
      </w:r>
      <w:r w:rsidR="00C712B9">
        <w:rPr>
          <w:rFonts w:ascii="Garamond" w:hAnsi="Garamond" w:cs="Times New Roman"/>
          <w:b/>
          <w:iCs/>
          <w:sz w:val="24"/>
          <w:szCs w:val="24"/>
        </w:rPr>
        <w:t>)</w:t>
      </w:r>
      <w:r w:rsidR="00367C4C">
        <w:rPr>
          <w:rFonts w:ascii="Garamond" w:hAnsi="Garamond" w:cs="Times New Roman"/>
          <w:b/>
          <w:iCs/>
          <w:sz w:val="24"/>
          <w:szCs w:val="24"/>
        </w:rPr>
        <w:t>: 1301–1327</w:t>
      </w:r>
      <w:r w:rsidRPr="00661BB8">
        <w:rPr>
          <w:rFonts w:ascii="Garamond" w:hAnsi="Garamond" w:cs="Times New Roman"/>
          <w:b/>
          <w:iCs/>
          <w:sz w:val="24"/>
          <w:szCs w:val="24"/>
        </w:rPr>
        <w:t>.</w:t>
      </w:r>
    </w:p>
    <w:p w14:paraId="51E74CE5" w14:textId="77777777" w:rsidR="008452CC" w:rsidRPr="00661BB8" w:rsidRDefault="008452CC" w:rsidP="008452CC">
      <w:pPr>
        <w:spacing w:line="240" w:lineRule="auto"/>
        <w:contextualSpacing/>
        <w:rPr>
          <w:rFonts w:ascii="Garamond" w:hAnsi="Garamond" w:cs="Times New Roman"/>
          <w:b/>
          <w:iCs/>
          <w:sz w:val="24"/>
          <w:szCs w:val="24"/>
        </w:rPr>
      </w:pPr>
    </w:p>
    <w:p w14:paraId="61553D96" w14:textId="4EC48D4B" w:rsidR="008452CC" w:rsidRPr="00661BB8" w:rsidRDefault="008452CC" w:rsidP="008452CC">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Alexander L. George and Andrew Bennett, </w:t>
      </w:r>
      <w:r w:rsidRPr="00661BB8">
        <w:rPr>
          <w:rFonts w:ascii="Garamond" w:hAnsi="Garamond" w:cs="Times New Roman"/>
          <w:b/>
          <w:i/>
          <w:iCs/>
          <w:sz w:val="24"/>
          <w:szCs w:val="24"/>
        </w:rPr>
        <w:t>Case Studies and Theory Development in the Social Sciences</w:t>
      </w:r>
      <w:r w:rsidRPr="00661BB8">
        <w:rPr>
          <w:rFonts w:ascii="Garamond" w:hAnsi="Garamond" w:cs="Times New Roman"/>
          <w:b/>
          <w:iCs/>
          <w:sz w:val="24"/>
          <w:szCs w:val="24"/>
        </w:rPr>
        <w:t xml:space="preserve"> (Cambridge</w:t>
      </w:r>
      <w:r w:rsidR="0048318D">
        <w:rPr>
          <w:rFonts w:ascii="Garamond" w:hAnsi="Garamond" w:cs="Times New Roman"/>
          <w:b/>
          <w:iCs/>
          <w:sz w:val="24"/>
          <w:szCs w:val="24"/>
        </w:rPr>
        <w:t>, MA</w:t>
      </w:r>
      <w:r w:rsidRPr="00661BB8">
        <w:rPr>
          <w:rFonts w:ascii="Garamond" w:hAnsi="Garamond" w:cs="Times New Roman"/>
          <w:b/>
          <w:iCs/>
          <w:sz w:val="24"/>
          <w:szCs w:val="24"/>
        </w:rPr>
        <w:t>: MIT Press, 2005)</w:t>
      </w:r>
      <w:r w:rsidR="00991921" w:rsidRPr="00661BB8">
        <w:rPr>
          <w:rFonts w:ascii="Garamond" w:hAnsi="Garamond" w:cs="Times New Roman"/>
          <w:b/>
          <w:iCs/>
          <w:sz w:val="24"/>
          <w:szCs w:val="24"/>
        </w:rPr>
        <w:t>, 151</w:t>
      </w:r>
      <w:r w:rsidR="0048318D">
        <w:rPr>
          <w:rFonts w:ascii="Garamond" w:hAnsi="Garamond" w:cs="Times New Roman"/>
          <w:b/>
          <w:iCs/>
          <w:sz w:val="24"/>
          <w:szCs w:val="24"/>
        </w:rPr>
        <w:t>–</w:t>
      </w:r>
      <w:r w:rsidR="00991921" w:rsidRPr="00661BB8">
        <w:rPr>
          <w:rFonts w:ascii="Garamond" w:hAnsi="Garamond" w:cs="Times New Roman"/>
          <w:b/>
          <w:iCs/>
          <w:sz w:val="24"/>
          <w:szCs w:val="24"/>
        </w:rPr>
        <w:t>81 (</w:t>
      </w:r>
      <w:r w:rsidR="0048318D">
        <w:rPr>
          <w:rFonts w:ascii="Garamond" w:hAnsi="Garamond" w:cs="Times New Roman"/>
          <w:b/>
          <w:iCs/>
          <w:sz w:val="24"/>
          <w:szCs w:val="24"/>
        </w:rPr>
        <w:t>“</w:t>
      </w:r>
      <w:r w:rsidR="00991921" w:rsidRPr="00661BB8">
        <w:rPr>
          <w:rFonts w:ascii="Garamond" w:hAnsi="Garamond" w:cs="Times New Roman"/>
          <w:b/>
          <w:iCs/>
          <w:sz w:val="24"/>
          <w:szCs w:val="24"/>
        </w:rPr>
        <w:t>Comparative Methods: Controlled Comparison and Within-Case Analysis</w:t>
      </w:r>
      <w:r w:rsidR="0048318D">
        <w:rPr>
          <w:rFonts w:ascii="Garamond" w:hAnsi="Garamond" w:cs="Times New Roman"/>
          <w:b/>
          <w:iCs/>
          <w:sz w:val="24"/>
          <w:szCs w:val="24"/>
        </w:rPr>
        <w:t>”</w:t>
      </w:r>
      <w:r w:rsidR="00991921" w:rsidRPr="00661BB8">
        <w:rPr>
          <w:rFonts w:ascii="Garamond" w:hAnsi="Garamond" w:cs="Times New Roman"/>
          <w:b/>
          <w:iCs/>
          <w:sz w:val="24"/>
          <w:szCs w:val="24"/>
        </w:rPr>
        <w:t xml:space="preserve">) </w:t>
      </w:r>
    </w:p>
    <w:p w14:paraId="12C472E6" w14:textId="77777777" w:rsidR="008452CC" w:rsidRPr="00661BB8" w:rsidRDefault="008452CC" w:rsidP="008452CC">
      <w:pPr>
        <w:spacing w:line="240" w:lineRule="auto"/>
        <w:contextualSpacing/>
        <w:rPr>
          <w:rFonts w:ascii="Garamond" w:hAnsi="Garamond" w:cs="Times New Roman"/>
          <w:b/>
          <w:iCs/>
          <w:sz w:val="24"/>
          <w:szCs w:val="24"/>
        </w:rPr>
      </w:pPr>
    </w:p>
    <w:p w14:paraId="1933B3D0" w14:textId="6BA7385F" w:rsidR="00D57091" w:rsidRPr="00661BB8" w:rsidRDefault="00D57091" w:rsidP="008452CC">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David Collier and James Mahoney, “Insights and Pitfalls: Selection Bias in Qualitative Research,” </w:t>
      </w:r>
      <w:r w:rsidRPr="00661BB8">
        <w:rPr>
          <w:rFonts w:ascii="Garamond" w:hAnsi="Garamond" w:cs="Times New Roman"/>
          <w:b/>
          <w:i/>
          <w:iCs/>
          <w:sz w:val="24"/>
          <w:szCs w:val="24"/>
        </w:rPr>
        <w:t>World Politics</w:t>
      </w:r>
      <w:r w:rsidRPr="00661BB8">
        <w:rPr>
          <w:rFonts w:ascii="Garamond" w:hAnsi="Garamond" w:cs="Times New Roman"/>
          <w:b/>
          <w:iCs/>
          <w:sz w:val="24"/>
          <w:szCs w:val="24"/>
        </w:rPr>
        <w:t xml:space="preserve"> 49, no. 1 (October 1996): 56–91.</w:t>
      </w:r>
    </w:p>
    <w:p w14:paraId="4EAC5D8F" w14:textId="486731D3" w:rsidR="008452CC" w:rsidRPr="00661BB8" w:rsidRDefault="008452CC" w:rsidP="008452CC">
      <w:pPr>
        <w:spacing w:line="240" w:lineRule="auto"/>
        <w:contextualSpacing/>
        <w:rPr>
          <w:rFonts w:ascii="Garamond" w:hAnsi="Garamond" w:cs="Times New Roman"/>
          <w:b/>
          <w:iCs/>
          <w:sz w:val="24"/>
          <w:szCs w:val="24"/>
        </w:rPr>
      </w:pPr>
    </w:p>
    <w:p w14:paraId="02437988" w14:textId="7E4198B2" w:rsidR="00C66E6F" w:rsidRDefault="00D57091" w:rsidP="003B3777">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Jason Seawright and John Gerring, “Case Selection Techniques in Case Study Research,” </w:t>
      </w:r>
      <w:r w:rsidRPr="00661BB8">
        <w:rPr>
          <w:rFonts w:ascii="Garamond" w:hAnsi="Garamond" w:cs="Times New Roman"/>
          <w:b/>
          <w:i/>
          <w:iCs/>
          <w:sz w:val="24"/>
          <w:szCs w:val="24"/>
        </w:rPr>
        <w:t>Political Research Quarterly</w:t>
      </w:r>
      <w:r w:rsidRPr="00661BB8">
        <w:rPr>
          <w:rFonts w:ascii="Garamond" w:hAnsi="Garamond" w:cs="Times New Roman"/>
          <w:b/>
          <w:iCs/>
          <w:sz w:val="24"/>
          <w:szCs w:val="24"/>
        </w:rPr>
        <w:t xml:space="preserve"> 61, no. 2 (June 2008): 294–308.</w:t>
      </w:r>
    </w:p>
    <w:p w14:paraId="708EC401" w14:textId="30024789" w:rsidR="00D57091" w:rsidRDefault="00D57091" w:rsidP="00D57091">
      <w:pPr>
        <w:spacing w:line="240" w:lineRule="auto"/>
        <w:contextualSpacing/>
        <w:rPr>
          <w:rFonts w:ascii="Garamond" w:hAnsi="Garamond" w:cs="Times New Roman"/>
          <w:bCs/>
          <w:iCs/>
          <w:sz w:val="24"/>
          <w:szCs w:val="24"/>
        </w:rPr>
      </w:pPr>
    </w:p>
    <w:p w14:paraId="627F1F45" w14:textId="3910C7BA" w:rsidR="00D57091" w:rsidRDefault="00D57091" w:rsidP="00D57091">
      <w:pPr>
        <w:spacing w:line="240" w:lineRule="auto"/>
        <w:contextualSpacing/>
        <w:rPr>
          <w:rFonts w:ascii="Garamond" w:hAnsi="Garamond" w:cs="Times New Roman"/>
          <w:bCs/>
          <w:iCs/>
          <w:sz w:val="24"/>
          <w:szCs w:val="24"/>
        </w:rPr>
      </w:pPr>
      <w:r>
        <w:rPr>
          <w:rFonts w:ascii="Garamond" w:hAnsi="Garamond" w:cs="Times New Roman"/>
          <w:bCs/>
          <w:iCs/>
          <w:sz w:val="24"/>
          <w:szCs w:val="24"/>
        </w:rPr>
        <w:t xml:space="preserve">OPTIONAL: </w:t>
      </w:r>
    </w:p>
    <w:p w14:paraId="670B27E6" w14:textId="77777777" w:rsidR="007F1095" w:rsidRDefault="007F1095" w:rsidP="00D57091">
      <w:pPr>
        <w:spacing w:line="240" w:lineRule="auto"/>
        <w:contextualSpacing/>
        <w:rPr>
          <w:rFonts w:ascii="Garamond" w:hAnsi="Garamond" w:cs="Times New Roman"/>
          <w:bCs/>
          <w:iCs/>
          <w:sz w:val="24"/>
          <w:szCs w:val="24"/>
        </w:rPr>
      </w:pPr>
    </w:p>
    <w:p w14:paraId="1DB63CB1" w14:textId="56917C47" w:rsidR="005333AC" w:rsidRPr="005333AC" w:rsidRDefault="005333AC" w:rsidP="00D57091">
      <w:pPr>
        <w:spacing w:line="240" w:lineRule="auto"/>
        <w:contextualSpacing/>
        <w:rPr>
          <w:rFonts w:ascii="Garamond" w:hAnsi="Garamond" w:cs="Times New Roman"/>
          <w:bCs/>
          <w:iCs/>
          <w:sz w:val="24"/>
          <w:szCs w:val="24"/>
        </w:rPr>
      </w:pPr>
      <w:r w:rsidRPr="005333AC">
        <w:rPr>
          <w:rFonts w:ascii="Garamond" w:hAnsi="Garamond" w:cs="Times New Roman"/>
          <w:bCs/>
          <w:iCs/>
          <w:sz w:val="24"/>
          <w:szCs w:val="24"/>
        </w:rPr>
        <w:t xml:space="preserve">Sidney Tarrow, “The Strategy of Paired Comparison: Toward a Theory of Practice,” </w:t>
      </w:r>
      <w:r w:rsidRPr="005333AC">
        <w:rPr>
          <w:rFonts w:ascii="Garamond" w:hAnsi="Garamond" w:cs="Times New Roman"/>
          <w:bCs/>
          <w:i/>
          <w:sz w:val="24"/>
          <w:szCs w:val="24"/>
        </w:rPr>
        <w:t>Comparative Political Studies</w:t>
      </w:r>
      <w:r w:rsidRPr="005333AC">
        <w:rPr>
          <w:rFonts w:ascii="Garamond" w:hAnsi="Garamond" w:cs="Times New Roman"/>
          <w:bCs/>
          <w:iCs/>
          <w:sz w:val="24"/>
          <w:szCs w:val="24"/>
        </w:rPr>
        <w:t xml:space="preserve"> 43, no. 2 (2010): 230–259.</w:t>
      </w:r>
    </w:p>
    <w:p w14:paraId="6F695C22" w14:textId="77777777" w:rsidR="005333AC" w:rsidRDefault="005333AC" w:rsidP="00D57091">
      <w:pPr>
        <w:spacing w:line="240" w:lineRule="auto"/>
        <w:contextualSpacing/>
        <w:rPr>
          <w:rFonts w:ascii="Garamond" w:hAnsi="Garamond" w:cs="Times New Roman"/>
          <w:bCs/>
          <w:iCs/>
          <w:sz w:val="24"/>
          <w:szCs w:val="24"/>
        </w:rPr>
      </w:pPr>
    </w:p>
    <w:p w14:paraId="40C49EFF" w14:textId="73431429" w:rsidR="007F1095" w:rsidRPr="00D57091" w:rsidRDefault="007F1095" w:rsidP="00D57091">
      <w:pPr>
        <w:spacing w:line="240" w:lineRule="auto"/>
        <w:contextualSpacing/>
        <w:rPr>
          <w:rFonts w:ascii="Garamond" w:hAnsi="Garamond" w:cs="Times New Roman"/>
          <w:bCs/>
          <w:iCs/>
          <w:sz w:val="24"/>
          <w:szCs w:val="24"/>
        </w:rPr>
      </w:pPr>
      <w:r w:rsidRPr="007F1095">
        <w:rPr>
          <w:rFonts w:ascii="Garamond" w:hAnsi="Garamond" w:cs="Times New Roman"/>
          <w:bCs/>
          <w:iCs/>
          <w:sz w:val="24"/>
          <w:szCs w:val="24"/>
        </w:rPr>
        <w:t>Jasjeet S. Sekhon, “Quality Meets Quantity: Case Studies, Conditional Probability, and Counterfactuals,” Perspectives on Politics 2, no. 2 (June 2004): 281–93.</w:t>
      </w:r>
    </w:p>
    <w:p w14:paraId="55FC5CD1" w14:textId="77777777" w:rsidR="00D57091" w:rsidRPr="00D57091" w:rsidRDefault="00D57091" w:rsidP="00BA4DAD">
      <w:pPr>
        <w:spacing w:line="240" w:lineRule="auto"/>
        <w:contextualSpacing/>
        <w:rPr>
          <w:rFonts w:ascii="Garamond" w:hAnsi="Garamond" w:cs="Times New Roman"/>
          <w:bCs/>
          <w:iCs/>
          <w:sz w:val="24"/>
          <w:szCs w:val="24"/>
        </w:rPr>
      </w:pPr>
    </w:p>
    <w:p w14:paraId="329A8E24" w14:textId="7F2CFEEA" w:rsidR="00D57091" w:rsidRDefault="00D57091" w:rsidP="00D57091">
      <w:pPr>
        <w:spacing w:line="240" w:lineRule="auto"/>
        <w:contextualSpacing/>
        <w:rPr>
          <w:rFonts w:ascii="Garamond" w:hAnsi="Garamond" w:cs="Times New Roman"/>
          <w:bCs/>
          <w:iCs/>
          <w:sz w:val="24"/>
          <w:szCs w:val="24"/>
        </w:rPr>
      </w:pPr>
      <w:r w:rsidRPr="00D57091">
        <w:rPr>
          <w:rFonts w:ascii="Garamond" w:hAnsi="Garamond" w:cs="Times New Roman"/>
          <w:bCs/>
          <w:iCs/>
          <w:sz w:val="24"/>
          <w:szCs w:val="24"/>
        </w:rPr>
        <w:t xml:space="preserve">Charles C. Ragin, </w:t>
      </w:r>
      <w:r w:rsidRPr="00D57091">
        <w:rPr>
          <w:rFonts w:ascii="Garamond" w:hAnsi="Garamond" w:cs="Times New Roman"/>
          <w:bCs/>
          <w:i/>
          <w:iCs/>
          <w:sz w:val="24"/>
          <w:szCs w:val="24"/>
        </w:rPr>
        <w:t>Fuzzy-Set Social Science</w:t>
      </w:r>
      <w:r w:rsidRPr="00D57091">
        <w:rPr>
          <w:rFonts w:ascii="Garamond" w:hAnsi="Garamond" w:cs="Times New Roman"/>
          <w:bCs/>
          <w:iCs/>
          <w:sz w:val="24"/>
          <w:szCs w:val="24"/>
        </w:rPr>
        <w:t xml:space="preserve"> (Chicago: University of Chicago Press, 2000).</w:t>
      </w:r>
    </w:p>
    <w:p w14:paraId="7C3C61B2" w14:textId="337CF242" w:rsidR="00C55924" w:rsidRDefault="00C55924" w:rsidP="00D57091">
      <w:pPr>
        <w:spacing w:line="240" w:lineRule="auto"/>
        <w:contextualSpacing/>
        <w:rPr>
          <w:rFonts w:ascii="Garamond" w:hAnsi="Garamond" w:cs="Times New Roman"/>
          <w:bCs/>
          <w:iCs/>
          <w:sz w:val="24"/>
          <w:szCs w:val="24"/>
        </w:rPr>
      </w:pPr>
    </w:p>
    <w:p w14:paraId="12F89978" w14:textId="32743F87" w:rsidR="00B92479" w:rsidRDefault="00B92479" w:rsidP="00B92479">
      <w:pPr>
        <w:spacing w:line="240" w:lineRule="auto"/>
        <w:contextualSpacing/>
        <w:rPr>
          <w:rFonts w:ascii="Garamond" w:hAnsi="Garamond" w:cs="Times New Roman"/>
          <w:bCs/>
          <w:iCs/>
          <w:sz w:val="24"/>
          <w:szCs w:val="24"/>
        </w:rPr>
      </w:pPr>
      <w:r w:rsidRPr="006365FB">
        <w:rPr>
          <w:rFonts w:ascii="Garamond" w:hAnsi="Garamond" w:cs="Times New Roman"/>
          <w:bCs/>
          <w:iCs/>
          <w:sz w:val="24"/>
          <w:szCs w:val="24"/>
        </w:rPr>
        <w:fldChar w:fldCharType="begin"/>
      </w:r>
      <w:r w:rsidR="00A96125">
        <w:rPr>
          <w:rFonts w:ascii="Garamond" w:hAnsi="Garamond" w:cs="Times New Roman"/>
          <w:bCs/>
          <w:iCs/>
          <w:sz w:val="24"/>
          <w:szCs w:val="24"/>
        </w:rPr>
        <w:instrText xml:space="preserve"> ADDIN ZOTERO_ITEM CSL_CITATION {"citationID":"wMiVX44k","properties":{"formattedCitation":"Arend Lijphart, \\uc0\\u8220{}II. The Comparable-Cases Strategy in Comparative Research,\\uc0\\u8221{} {\\i{}Comparative Political Studies} 8, no. 2 (January 7, 1975): 158\\uc0\\u8211{}77.","plainCitation":"Arend Lijphart, “II. The Comparable-Cases Strategy in Comparative Research,” Comparative Political Studies 8, no. 2 (January 7, 1975): 158–77.","noteIndex":0},"citationItems":[{"id":1449,"uris":["http://zotero.org/users/4231237/items/SVZFI6GU"],"itemData":{"id":1449,"type":"article-journal","container-title":"Comparative Political Studies","issue":"2","journalAbbreviation":"Comparative Political Studies","page":"158-177","source":"cps.sagepub.com.libproxy.mit.edu","title":"II. The Comparable-Cases Strategy in Comparative Research","volume":"8","author":[{"family":"Lijphart","given":"Arend"}],"issued":{"date-parts":[["1975",1,7]]}}}],"schema":"https://github.com/citation-style-language/schema/raw/master/csl-citation.json"} </w:instrText>
      </w:r>
      <w:r w:rsidRPr="006365FB">
        <w:rPr>
          <w:rFonts w:ascii="Garamond" w:hAnsi="Garamond" w:cs="Times New Roman"/>
          <w:bCs/>
          <w:iCs/>
          <w:sz w:val="24"/>
          <w:szCs w:val="24"/>
        </w:rPr>
        <w:fldChar w:fldCharType="separate"/>
      </w:r>
      <w:r w:rsidRPr="006365FB">
        <w:rPr>
          <w:rFonts w:ascii="Garamond" w:hAnsi="Garamond" w:cs="Times New Roman"/>
          <w:bCs/>
          <w:iCs/>
          <w:sz w:val="24"/>
          <w:szCs w:val="24"/>
        </w:rPr>
        <w:t xml:space="preserve">Arend Lijphart, “II. The Comparable-Cases Strategy in Comparative Research,” </w:t>
      </w:r>
      <w:r w:rsidRPr="006365FB">
        <w:rPr>
          <w:rFonts w:ascii="Garamond" w:hAnsi="Garamond" w:cs="Times New Roman"/>
          <w:bCs/>
          <w:i/>
          <w:iCs/>
          <w:sz w:val="24"/>
          <w:szCs w:val="24"/>
        </w:rPr>
        <w:t>Comparative Political Studies</w:t>
      </w:r>
      <w:r w:rsidRPr="006365FB">
        <w:rPr>
          <w:rFonts w:ascii="Garamond" w:hAnsi="Garamond" w:cs="Times New Roman"/>
          <w:bCs/>
          <w:iCs/>
          <w:sz w:val="24"/>
          <w:szCs w:val="24"/>
        </w:rPr>
        <w:t xml:space="preserve"> 8, no. 2 (January 7, 1975): 158–77.</w:t>
      </w:r>
      <w:r w:rsidRPr="006365FB">
        <w:rPr>
          <w:rFonts w:ascii="Garamond" w:hAnsi="Garamond" w:cs="Times New Roman"/>
          <w:bCs/>
          <w:iCs/>
          <w:sz w:val="24"/>
          <w:szCs w:val="24"/>
        </w:rPr>
        <w:fldChar w:fldCharType="end"/>
      </w:r>
    </w:p>
    <w:p w14:paraId="47333803" w14:textId="77777777" w:rsidR="00B92479" w:rsidRDefault="00B92479" w:rsidP="00D57091">
      <w:pPr>
        <w:spacing w:line="240" w:lineRule="auto"/>
        <w:contextualSpacing/>
        <w:rPr>
          <w:rFonts w:ascii="Garamond" w:hAnsi="Garamond" w:cs="Times New Roman"/>
          <w:bCs/>
          <w:iCs/>
          <w:sz w:val="24"/>
          <w:szCs w:val="24"/>
        </w:rPr>
      </w:pPr>
    </w:p>
    <w:p w14:paraId="7C4F9C77" w14:textId="08A619E8" w:rsidR="00D57091" w:rsidRDefault="00D57091" w:rsidP="00D57091">
      <w:pPr>
        <w:spacing w:line="240" w:lineRule="auto"/>
        <w:contextualSpacing/>
        <w:rPr>
          <w:rFonts w:ascii="Garamond" w:hAnsi="Garamond" w:cs="Times New Roman"/>
          <w:bCs/>
          <w:iCs/>
          <w:sz w:val="24"/>
          <w:szCs w:val="24"/>
        </w:rPr>
      </w:pPr>
      <w:r w:rsidRPr="00D57091">
        <w:rPr>
          <w:rFonts w:ascii="Garamond" w:hAnsi="Garamond" w:cs="Times New Roman"/>
          <w:bCs/>
          <w:iCs/>
          <w:sz w:val="24"/>
          <w:szCs w:val="24"/>
        </w:rPr>
        <w:t xml:space="preserve">Almond Gabriel Abraham, </w:t>
      </w:r>
      <w:r w:rsidRPr="00D57091">
        <w:rPr>
          <w:rFonts w:ascii="Garamond" w:hAnsi="Garamond" w:cs="Times New Roman"/>
          <w:bCs/>
          <w:i/>
          <w:iCs/>
          <w:sz w:val="24"/>
          <w:szCs w:val="24"/>
        </w:rPr>
        <w:t>Ventures in Political Science: Narratives and Reflections</w:t>
      </w:r>
      <w:r w:rsidRPr="00D57091">
        <w:rPr>
          <w:rFonts w:ascii="Garamond" w:hAnsi="Garamond" w:cs="Times New Roman"/>
          <w:bCs/>
          <w:iCs/>
          <w:sz w:val="24"/>
          <w:szCs w:val="24"/>
        </w:rPr>
        <w:t xml:space="preserve"> (London: Lynne Rienner Publishers, 2002), 109–27</w:t>
      </w:r>
      <w:r w:rsidR="00741F67">
        <w:rPr>
          <w:rFonts w:ascii="Garamond" w:hAnsi="Garamond" w:cs="Times New Roman"/>
          <w:bCs/>
          <w:iCs/>
          <w:sz w:val="24"/>
          <w:szCs w:val="24"/>
        </w:rPr>
        <w:t xml:space="preserve"> (</w:t>
      </w:r>
      <w:r w:rsidRPr="00D57091">
        <w:rPr>
          <w:rFonts w:ascii="Garamond" w:hAnsi="Garamond" w:cs="Times New Roman"/>
          <w:bCs/>
          <w:iCs/>
          <w:sz w:val="24"/>
          <w:szCs w:val="24"/>
        </w:rPr>
        <w:t>Chapter 6</w:t>
      </w:r>
      <w:r w:rsidR="00741F67">
        <w:rPr>
          <w:rFonts w:ascii="Garamond" w:hAnsi="Garamond" w:cs="Times New Roman"/>
          <w:bCs/>
          <w:iCs/>
          <w:sz w:val="24"/>
          <w:szCs w:val="24"/>
        </w:rPr>
        <w:t xml:space="preserve">). </w:t>
      </w:r>
    </w:p>
    <w:p w14:paraId="701EFA42" w14:textId="77777777" w:rsidR="004D6282" w:rsidRPr="00D57091" w:rsidRDefault="004D6282" w:rsidP="00D57091">
      <w:pPr>
        <w:spacing w:line="240" w:lineRule="auto"/>
        <w:contextualSpacing/>
        <w:rPr>
          <w:rFonts w:ascii="Garamond" w:hAnsi="Garamond" w:cs="Times New Roman"/>
          <w:bCs/>
          <w:iCs/>
          <w:sz w:val="24"/>
          <w:szCs w:val="24"/>
        </w:rPr>
      </w:pPr>
    </w:p>
    <w:p w14:paraId="751A8850" w14:textId="72BE3D69" w:rsidR="004D6282" w:rsidRDefault="004D6282" w:rsidP="004D6282">
      <w:pPr>
        <w:spacing w:line="240" w:lineRule="auto"/>
        <w:contextualSpacing/>
        <w:rPr>
          <w:rFonts w:ascii="Garamond" w:hAnsi="Garamond" w:cs="Times New Roman"/>
          <w:bCs/>
          <w:iCs/>
          <w:sz w:val="24"/>
          <w:szCs w:val="24"/>
        </w:rPr>
      </w:pPr>
      <w:r>
        <w:rPr>
          <w:rFonts w:ascii="Garamond" w:hAnsi="Garamond" w:cs="Times New Roman"/>
          <w:bCs/>
          <w:iCs/>
          <w:sz w:val="24"/>
          <w:szCs w:val="24"/>
        </w:rPr>
        <w:t xml:space="preserve">Patrick Kollner, Rudra Sil, and Ariel I Ahram, “Comparative Area Studies: What It Is, What </w:t>
      </w:r>
      <w:r w:rsidR="00897B57">
        <w:rPr>
          <w:rFonts w:ascii="Garamond" w:hAnsi="Garamond" w:cs="Times New Roman"/>
          <w:bCs/>
          <w:iCs/>
          <w:sz w:val="24"/>
          <w:szCs w:val="24"/>
        </w:rPr>
        <w:t>I</w:t>
      </w:r>
      <w:r>
        <w:rPr>
          <w:rFonts w:ascii="Garamond" w:hAnsi="Garamond" w:cs="Times New Roman"/>
          <w:bCs/>
          <w:iCs/>
          <w:sz w:val="24"/>
          <w:szCs w:val="24"/>
        </w:rPr>
        <w:t xml:space="preserve">t Can Do?” in </w:t>
      </w:r>
      <w:r w:rsidRPr="004D6282">
        <w:rPr>
          <w:rFonts w:ascii="Garamond" w:hAnsi="Garamond" w:cs="Times New Roman"/>
          <w:bCs/>
          <w:iCs/>
          <w:sz w:val="24"/>
          <w:szCs w:val="24"/>
        </w:rPr>
        <w:t xml:space="preserve">Ariel I. Ahram, Patrick Köllner, and Rudra Sil, eds., </w:t>
      </w:r>
      <w:r w:rsidRPr="004D6282">
        <w:rPr>
          <w:rFonts w:ascii="Garamond" w:hAnsi="Garamond" w:cs="Times New Roman"/>
          <w:bCs/>
          <w:i/>
          <w:iCs/>
          <w:sz w:val="24"/>
          <w:szCs w:val="24"/>
        </w:rPr>
        <w:t>Comparative Studies: Methodological Rationales and Cross-Regional Applications</w:t>
      </w:r>
      <w:r w:rsidRPr="004D6282">
        <w:rPr>
          <w:rFonts w:ascii="Garamond" w:hAnsi="Garamond" w:cs="Times New Roman"/>
          <w:bCs/>
          <w:iCs/>
          <w:sz w:val="24"/>
          <w:szCs w:val="24"/>
        </w:rPr>
        <w:t xml:space="preserve"> (New York: Oxford University Press, 2018).</w:t>
      </w:r>
    </w:p>
    <w:p w14:paraId="0081548F" w14:textId="77777777" w:rsidR="003709C4" w:rsidRDefault="003709C4" w:rsidP="0070482C">
      <w:pPr>
        <w:spacing w:line="240" w:lineRule="auto"/>
        <w:contextualSpacing/>
        <w:rPr>
          <w:rFonts w:ascii="Garamond" w:hAnsi="Garamond" w:cs="Times New Roman"/>
          <w:i/>
          <w:iCs/>
          <w:sz w:val="24"/>
          <w:szCs w:val="24"/>
        </w:rPr>
      </w:pPr>
    </w:p>
    <w:p w14:paraId="6772194B" w14:textId="70C66B5B" w:rsidR="0070482C" w:rsidRPr="00661BB8" w:rsidRDefault="0070482C" w:rsidP="0070482C">
      <w:pPr>
        <w:spacing w:line="240" w:lineRule="auto"/>
        <w:contextualSpacing/>
        <w:rPr>
          <w:rFonts w:ascii="Garamond" w:hAnsi="Garamond" w:cs="Times New Roman"/>
          <w:b/>
          <w:bCs/>
          <w:i/>
          <w:iCs/>
          <w:sz w:val="24"/>
          <w:szCs w:val="24"/>
        </w:rPr>
      </w:pPr>
      <w:r w:rsidRPr="00661BB8">
        <w:rPr>
          <w:rFonts w:ascii="Garamond" w:hAnsi="Garamond" w:cs="Times New Roman"/>
          <w:b/>
          <w:bCs/>
          <w:i/>
          <w:iCs/>
          <w:sz w:val="24"/>
          <w:szCs w:val="24"/>
        </w:rPr>
        <w:t xml:space="preserve">How do I use digital </w:t>
      </w:r>
      <w:r w:rsidR="003709C4" w:rsidRPr="00661BB8">
        <w:rPr>
          <w:rFonts w:ascii="Garamond" w:hAnsi="Garamond" w:cs="Times New Roman"/>
          <w:b/>
          <w:bCs/>
          <w:i/>
          <w:iCs/>
          <w:sz w:val="24"/>
          <w:szCs w:val="24"/>
        </w:rPr>
        <w:t>databases</w:t>
      </w:r>
      <w:r w:rsidRPr="00661BB8">
        <w:rPr>
          <w:rFonts w:ascii="Garamond" w:hAnsi="Garamond" w:cs="Times New Roman"/>
          <w:b/>
          <w:bCs/>
          <w:i/>
          <w:iCs/>
          <w:sz w:val="24"/>
          <w:szCs w:val="24"/>
        </w:rPr>
        <w:t>?</w:t>
      </w:r>
    </w:p>
    <w:p w14:paraId="1F413887" w14:textId="77777777" w:rsidR="0070482C" w:rsidRPr="00661BB8" w:rsidRDefault="0070482C" w:rsidP="0070482C">
      <w:pPr>
        <w:spacing w:line="240" w:lineRule="auto"/>
        <w:contextualSpacing/>
        <w:rPr>
          <w:rFonts w:ascii="Garamond" w:hAnsi="Garamond" w:cs="Times New Roman"/>
          <w:b/>
          <w:bCs/>
          <w:i/>
          <w:iCs/>
          <w:sz w:val="24"/>
          <w:szCs w:val="24"/>
        </w:rPr>
      </w:pPr>
    </w:p>
    <w:p w14:paraId="24224433" w14:textId="77777777" w:rsidR="0070482C" w:rsidRPr="00661BB8" w:rsidRDefault="0070482C" w:rsidP="0070482C">
      <w:pPr>
        <w:spacing w:line="240" w:lineRule="auto"/>
        <w:contextualSpacing/>
        <w:rPr>
          <w:rFonts w:ascii="Garamond" w:hAnsi="Garamond" w:cs="Times New Roman"/>
          <w:b/>
          <w:bCs/>
          <w:sz w:val="24"/>
          <w:szCs w:val="24"/>
        </w:rPr>
      </w:pPr>
      <w:r w:rsidRPr="00661BB8">
        <w:rPr>
          <w:rFonts w:ascii="Garamond" w:hAnsi="Garamond" w:cs="Times New Roman"/>
          <w:b/>
          <w:bCs/>
          <w:sz w:val="24"/>
          <w:szCs w:val="24"/>
        </w:rPr>
        <w:t xml:space="preserve">Lara Putnam, “The Transnational and the Text-Searchable: Digitized Sources and the Shadows They Cast,” </w:t>
      </w:r>
      <w:r w:rsidRPr="00661BB8">
        <w:rPr>
          <w:rFonts w:ascii="Garamond" w:hAnsi="Garamond" w:cs="Times New Roman"/>
          <w:b/>
          <w:bCs/>
          <w:i/>
          <w:iCs/>
          <w:sz w:val="24"/>
          <w:szCs w:val="24"/>
        </w:rPr>
        <w:t>The American Historical Review</w:t>
      </w:r>
      <w:r w:rsidRPr="00661BB8">
        <w:rPr>
          <w:rFonts w:ascii="Garamond" w:hAnsi="Garamond" w:cs="Times New Roman"/>
          <w:b/>
          <w:bCs/>
          <w:sz w:val="24"/>
          <w:szCs w:val="24"/>
        </w:rPr>
        <w:t xml:space="preserve"> 121, no. 2 (April 2016): 377–402.</w:t>
      </w:r>
    </w:p>
    <w:p w14:paraId="519F11FF" w14:textId="77777777" w:rsidR="0070482C" w:rsidRDefault="0070482C" w:rsidP="0070482C">
      <w:pPr>
        <w:spacing w:line="240" w:lineRule="auto"/>
        <w:contextualSpacing/>
        <w:rPr>
          <w:rFonts w:ascii="Garamond" w:hAnsi="Garamond" w:cs="Times New Roman"/>
          <w:bCs/>
          <w:iCs/>
          <w:sz w:val="24"/>
          <w:szCs w:val="24"/>
        </w:rPr>
      </w:pPr>
      <w:r>
        <w:rPr>
          <w:rFonts w:ascii="Garamond" w:hAnsi="Garamond" w:cs="Times New Roman"/>
          <w:bCs/>
          <w:iCs/>
          <w:sz w:val="24"/>
          <w:szCs w:val="24"/>
        </w:rPr>
        <w:t xml:space="preserve"> </w:t>
      </w:r>
    </w:p>
    <w:p w14:paraId="5E8249B0" w14:textId="77777777" w:rsidR="0070482C" w:rsidRDefault="0070482C" w:rsidP="0070482C">
      <w:pPr>
        <w:spacing w:line="240" w:lineRule="auto"/>
        <w:contextualSpacing/>
        <w:rPr>
          <w:rFonts w:ascii="Garamond" w:hAnsi="Garamond" w:cs="Times New Roman"/>
          <w:bCs/>
          <w:iCs/>
          <w:sz w:val="24"/>
          <w:szCs w:val="24"/>
        </w:rPr>
      </w:pPr>
      <w:r>
        <w:rPr>
          <w:rFonts w:ascii="Garamond" w:hAnsi="Garamond" w:cs="Times New Roman"/>
          <w:bCs/>
          <w:iCs/>
          <w:sz w:val="24"/>
          <w:szCs w:val="24"/>
        </w:rPr>
        <w:t>OPTIONAL:</w:t>
      </w:r>
    </w:p>
    <w:p w14:paraId="4751CDE9" w14:textId="77777777" w:rsidR="0070482C" w:rsidRDefault="0070482C" w:rsidP="0070482C">
      <w:pPr>
        <w:spacing w:line="240" w:lineRule="auto"/>
        <w:contextualSpacing/>
        <w:rPr>
          <w:rFonts w:ascii="Garamond" w:hAnsi="Garamond" w:cs="Times New Roman"/>
          <w:bCs/>
          <w:iCs/>
          <w:sz w:val="24"/>
          <w:szCs w:val="24"/>
        </w:rPr>
      </w:pPr>
    </w:p>
    <w:p w14:paraId="28554FD8" w14:textId="53A6283D" w:rsidR="0070482C" w:rsidRDefault="0070482C" w:rsidP="0070482C">
      <w:pPr>
        <w:spacing w:line="240" w:lineRule="auto"/>
        <w:contextualSpacing/>
        <w:rPr>
          <w:rFonts w:ascii="Garamond" w:hAnsi="Garamond" w:cs="Times New Roman"/>
          <w:bCs/>
          <w:iCs/>
          <w:sz w:val="24"/>
          <w:szCs w:val="24"/>
        </w:rPr>
      </w:pPr>
      <w:r w:rsidRPr="009253E7">
        <w:rPr>
          <w:rFonts w:ascii="Garamond" w:hAnsi="Garamond" w:cs="Times New Roman"/>
          <w:bCs/>
          <w:iCs/>
          <w:sz w:val="24"/>
          <w:szCs w:val="24"/>
        </w:rPr>
        <w:t xml:space="preserve">“H-Diplo Forum on Scholars and Digital Archives: Living the Dream?,” </w:t>
      </w:r>
      <w:r w:rsidRPr="009253E7">
        <w:rPr>
          <w:rFonts w:ascii="Garamond" w:hAnsi="Garamond" w:cs="Times New Roman"/>
          <w:bCs/>
          <w:i/>
          <w:iCs/>
          <w:sz w:val="24"/>
          <w:szCs w:val="24"/>
        </w:rPr>
        <w:t>H-Diplo Forum 2021-2</w:t>
      </w:r>
      <w:r w:rsidRPr="009253E7">
        <w:rPr>
          <w:rFonts w:ascii="Garamond" w:hAnsi="Garamond" w:cs="Times New Roman"/>
          <w:bCs/>
          <w:iCs/>
          <w:sz w:val="24"/>
          <w:szCs w:val="24"/>
        </w:rPr>
        <w:t>, October 6, 2021</w:t>
      </w:r>
      <w:r w:rsidR="00897B57">
        <w:rPr>
          <w:rFonts w:ascii="Garamond" w:hAnsi="Garamond" w:cs="Times New Roman"/>
          <w:bCs/>
          <w:iCs/>
          <w:sz w:val="24"/>
          <w:szCs w:val="24"/>
        </w:rPr>
        <w:t>.</w:t>
      </w:r>
    </w:p>
    <w:p w14:paraId="434AEDB9" w14:textId="77777777" w:rsidR="005A1DE0" w:rsidRDefault="005A1DE0" w:rsidP="0070482C">
      <w:pPr>
        <w:spacing w:line="240" w:lineRule="auto"/>
        <w:contextualSpacing/>
        <w:rPr>
          <w:rFonts w:ascii="Garamond" w:hAnsi="Garamond" w:cs="Times New Roman"/>
          <w:b/>
          <w:i/>
          <w:sz w:val="24"/>
          <w:szCs w:val="24"/>
        </w:rPr>
      </w:pPr>
    </w:p>
    <w:p w14:paraId="5D5AFD01" w14:textId="77777777" w:rsidR="00087827" w:rsidRDefault="00087827" w:rsidP="001F71B5">
      <w:pPr>
        <w:spacing w:line="240" w:lineRule="auto"/>
        <w:contextualSpacing/>
        <w:rPr>
          <w:rFonts w:ascii="Garamond" w:hAnsi="Garamond" w:cs="Times New Roman"/>
          <w:b/>
          <w:i/>
          <w:sz w:val="24"/>
          <w:szCs w:val="24"/>
        </w:rPr>
      </w:pPr>
    </w:p>
    <w:p w14:paraId="278AC841" w14:textId="6C2833E0" w:rsidR="001F71B5" w:rsidRDefault="00087827" w:rsidP="001F71B5">
      <w:pPr>
        <w:spacing w:line="240" w:lineRule="auto"/>
        <w:contextualSpacing/>
        <w:rPr>
          <w:rFonts w:ascii="Garamond" w:hAnsi="Garamond" w:cs="Times New Roman"/>
          <w:b/>
          <w:i/>
          <w:sz w:val="24"/>
          <w:szCs w:val="24"/>
        </w:rPr>
      </w:pPr>
      <w:r>
        <w:rPr>
          <w:rFonts w:ascii="Garamond" w:hAnsi="Garamond" w:cs="Times New Roman"/>
          <w:b/>
          <w:i/>
          <w:sz w:val="24"/>
          <w:szCs w:val="24"/>
        </w:rPr>
        <w:t xml:space="preserve">May 1: </w:t>
      </w:r>
    </w:p>
    <w:p w14:paraId="0376782F" w14:textId="77777777" w:rsidR="001F71B5" w:rsidRDefault="001F71B5" w:rsidP="001F71B5">
      <w:pPr>
        <w:spacing w:line="240" w:lineRule="auto"/>
        <w:contextualSpacing/>
        <w:rPr>
          <w:rFonts w:ascii="Garamond" w:hAnsi="Garamond" w:cs="Times New Roman"/>
          <w:b/>
          <w:i/>
          <w:sz w:val="24"/>
          <w:szCs w:val="24"/>
        </w:rPr>
      </w:pPr>
    </w:p>
    <w:p w14:paraId="07144603" w14:textId="77777777" w:rsidR="00BA4DAD" w:rsidRDefault="00BA4DAD" w:rsidP="00BA4DAD">
      <w:pPr>
        <w:spacing w:line="240" w:lineRule="auto"/>
        <w:contextualSpacing/>
        <w:rPr>
          <w:rFonts w:ascii="Garamond" w:hAnsi="Garamond" w:cs="Times New Roman"/>
          <w:b/>
          <w:i/>
          <w:sz w:val="24"/>
          <w:szCs w:val="24"/>
        </w:rPr>
      </w:pPr>
      <w:r w:rsidRPr="00661BB8">
        <w:rPr>
          <w:rFonts w:ascii="Garamond" w:hAnsi="Garamond" w:cs="Times New Roman"/>
          <w:b/>
          <w:i/>
          <w:sz w:val="24"/>
          <w:szCs w:val="24"/>
        </w:rPr>
        <w:t>Within-case analysis</w:t>
      </w:r>
    </w:p>
    <w:p w14:paraId="72ED4B28" w14:textId="4CDA825A" w:rsidR="001F71B5" w:rsidRPr="00661BB8" w:rsidRDefault="001F71B5" w:rsidP="001F71B5">
      <w:pPr>
        <w:spacing w:line="240" w:lineRule="auto"/>
        <w:contextualSpacing/>
        <w:rPr>
          <w:rFonts w:ascii="Garamond" w:hAnsi="Garamond" w:cs="Times New Roman"/>
          <w:b/>
          <w:i/>
          <w:sz w:val="24"/>
          <w:szCs w:val="24"/>
        </w:rPr>
      </w:pPr>
    </w:p>
    <w:p w14:paraId="75C7A510" w14:textId="3BEDD988" w:rsidR="00BA4DAD" w:rsidRPr="00661BB8" w:rsidRDefault="00EE3E9E" w:rsidP="001F71B5">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Gary Goertz, “The Semantics of Causal Mechanism Figures: Using Sherlock Holmes to Think about Causal Mechanisms,” </w:t>
      </w:r>
      <w:r w:rsidR="00897B57">
        <w:rPr>
          <w:rFonts w:ascii="Garamond" w:hAnsi="Garamond" w:cs="Times New Roman"/>
          <w:b/>
          <w:iCs/>
          <w:sz w:val="24"/>
          <w:szCs w:val="24"/>
        </w:rPr>
        <w:t>(</w:t>
      </w:r>
      <w:r w:rsidRPr="00661BB8">
        <w:rPr>
          <w:rFonts w:ascii="Garamond" w:hAnsi="Garamond" w:cs="Times New Roman"/>
          <w:b/>
          <w:iCs/>
          <w:sz w:val="24"/>
          <w:szCs w:val="24"/>
        </w:rPr>
        <w:t>unpublished manuscript, December 30, 2021</w:t>
      </w:r>
      <w:r w:rsidR="00897B57">
        <w:rPr>
          <w:rFonts w:ascii="Garamond" w:hAnsi="Garamond" w:cs="Times New Roman"/>
          <w:b/>
          <w:iCs/>
          <w:sz w:val="24"/>
          <w:szCs w:val="24"/>
        </w:rPr>
        <w:t xml:space="preserve">). </w:t>
      </w:r>
    </w:p>
    <w:p w14:paraId="566F1A82" w14:textId="7F58DC91" w:rsidR="00EE3E9E" w:rsidRPr="00661BB8" w:rsidRDefault="00EE3E9E" w:rsidP="001F71B5">
      <w:pPr>
        <w:spacing w:line="240" w:lineRule="auto"/>
        <w:contextualSpacing/>
        <w:rPr>
          <w:rFonts w:ascii="Garamond" w:hAnsi="Garamond" w:cs="Times New Roman"/>
          <w:b/>
          <w:iCs/>
          <w:sz w:val="24"/>
          <w:szCs w:val="24"/>
        </w:rPr>
      </w:pPr>
    </w:p>
    <w:p w14:paraId="0F12A3BC" w14:textId="2EBF0409" w:rsidR="00EE3E9E" w:rsidRDefault="00EE3E9E" w:rsidP="001F71B5">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Gary Goertz, “Linking General Causal Mechanisms with Individual Case Analyses: Type to Token Causation and Back Again,” </w:t>
      </w:r>
      <w:r w:rsidR="00897B57">
        <w:rPr>
          <w:rFonts w:ascii="Garamond" w:hAnsi="Garamond" w:cs="Times New Roman"/>
          <w:b/>
          <w:iCs/>
          <w:sz w:val="24"/>
          <w:szCs w:val="24"/>
        </w:rPr>
        <w:t>(</w:t>
      </w:r>
      <w:r w:rsidRPr="00661BB8">
        <w:rPr>
          <w:rFonts w:ascii="Garamond" w:hAnsi="Garamond" w:cs="Times New Roman"/>
          <w:b/>
          <w:iCs/>
          <w:sz w:val="24"/>
          <w:szCs w:val="24"/>
        </w:rPr>
        <w:t>unpublished manuscript, August 31, 2022</w:t>
      </w:r>
      <w:r w:rsidR="00897B57">
        <w:rPr>
          <w:rFonts w:ascii="Garamond" w:hAnsi="Garamond" w:cs="Times New Roman"/>
          <w:b/>
          <w:iCs/>
          <w:sz w:val="24"/>
          <w:szCs w:val="24"/>
        </w:rPr>
        <w:t xml:space="preserve">). </w:t>
      </w:r>
    </w:p>
    <w:p w14:paraId="72B8EEA7" w14:textId="77777777" w:rsidR="000C3B06" w:rsidRDefault="000C3B06" w:rsidP="001F71B5">
      <w:pPr>
        <w:spacing w:line="240" w:lineRule="auto"/>
        <w:contextualSpacing/>
        <w:rPr>
          <w:rFonts w:ascii="Garamond" w:hAnsi="Garamond" w:cs="Times New Roman"/>
          <w:b/>
          <w:iCs/>
          <w:sz w:val="24"/>
          <w:szCs w:val="24"/>
        </w:rPr>
      </w:pPr>
    </w:p>
    <w:p w14:paraId="7FBE6D16" w14:textId="77777777" w:rsidR="000C3B06" w:rsidRPr="000C3B06" w:rsidRDefault="000C3B06" w:rsidP="000C3B06">
      <w:pPr>
        <w:spacing w:line="240" w:lineRule="auto"/>
        <w:contextualSpacing/>
        <w:rPr>
          <w:rFonts w:ascii="Garamond" w:hAnsi="Garamond" w:cs="Times New Roman"/>
          <w:b/>
          <w:iCs/>
          <w:sz w:val="24"/>
          <w:szCs w:val="24"/>
        </w:rPr>
      </w:pPr>
      <w:r w:rsidRPr="000C3B06">
        <w:rPr>
          <w:rFonts w:ascii="Garamond" w:hAnsi="Garamond" w:cs="Times New Roman"/>
          <w:b/>
          <w:iCs/>
          <w:sz w:val="24"/>
          <w:szCs w:val="24"/>
        </w:rPr>
        <w:t xml:space="preserve">Tulia G. Falleti and Julia F. Lynch, “Context and Causal Mechanisms in Political Analysis,” </w:t>
      </w:r>
      <w:r w:rsidRPr="000C3B06">
        <w:rPr>
          <w:rFonts w:ascii="Garamond" w:hAnsi="Garamond" w:cs="Times New Roman"/>
          <w:b/>
          <w:i/>
          <w:iCs/>
          <w:sz w:val="24"/>
          <w:szCs w:val="24"/>
        </w:rPr>
        <w:t>Comparative Political Studies</w:t>
      </w:r>
      <w:r w:rsidRPr="000C3B06">
        <w:rPr>
          <w:rFonts w:ascii="Garamond" w:hAnsi="Garamond" w:cs="Times New Roman"/>
          <w:b/>
          <w:iCs/>
          <w:sz w:val="24"/>
          <w:szCs w:val="24"/>
        </w:rPr>
        <w:t xml:space="preserve"> 42, no. 9 (September 2009): 1143–66.</w:t>
      </w:r>
    </w:p>
    <w:p w14:paraId="4810D876" w14:textId="494CFDA2" w:rsidR="00752C9D" w:rsidRPr="00661BB8" w:rsidRDefault="00752C9D" w:rsidP="001F71B5">
      <w:pPr>
        <w:spacing w:line="240" w:lineRule="auto"/>
        <w:contextualSpacing/>
        <w:rPr>
          <w:rFonts w:ascii="Garamond" w:hAnsi="Garamond" w:cs="Times New Roman"/>
          <w:b/>
          <w:iCs/>
          <w:sz w:val="24"/>
          <w:szCs w:val="24"/>
        </w:rPr>
      </w:pPr>
    </w:p>
    <w:p w14:paraId="2393C679" w14:textId="296102CE" w:rsidR="00752C9D" w:rsidRPr="00661BB8" w:rsidRDefault="00752C9D" w:rsidP="00752C9D">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Andrew Bennett and Jeffrey T. Checkel, “Process Tracing: From Philosophical Roots to Best Practices,” in </w:t>
      </w:r>
      <w:r w:rsidRPr="00661BB8">
        <w:rPr>
          <w:rFonts w:ascii="Garamond" w:hAnsi="Garamond" w:cs="Times New Roman"/>
          <w:b/>
          <w:i/>
          <w:iCs/>
          <w:sz w:val="24"/>
          <w:szCs w:val="24"/>
        </w:rPr>
        <w:t>Process Tracing: From Metaphor to Analytic Tool</w:t>
      </w:r>
      <w:r w:rsidRPr="00661BB8">
        <w:rPr>
          <w:rFonts w:ascii="Garamond" w:hAnsi="Garamond" w:cs="Times New Roman"/>
          <w:b/>
          <w:iCs/>
          <w:sz w:val="24"/>
          <w:szCs w:val="24"/>
        </w:rPr>
        <w:t>, ed. Andrew Bennett and Jeffrey T. Checkel, Strategies for Social Inquiry (Cambridge: Cambridge University Press, 2015), 3–37</w:t>
      </w:r>
      <w:r w:rsidR="00726356">
        <w:rPr>
          <w:rFonts w:ascii="Garamond" w:hAnsi="Garamond" w:cs="Times New Roman"/>
          <w:b/>
          <w:iCs/>
          <w:sz w:val="24"/>
          <w:szCs w:val="24"/>
        </w:rPr>
        <w:t xml:space="preserve"> (</w:t>
      </w:r>
      <w:r w:rsidRPr="00661BB8">
        <w:rPr>
          <w:rFonts w:ascii="Garamond" w:hAnsi="Garamond" w:cs="Times New Roman"/>
          <w:b/>
          <w:iCs/>
          <w:sz w:val="24"/>
          <w:szCs w:val="24"/>
        </w:rPr>
        <w:t>Chapter 1</w:t>
      </w:r>
      <w:r w:rsidR="00726356">
        <w:rPr>
          <w:rFonts w:ascii="Garamond" w:hAnsi="Garamond" w:cs="Times New Roman"/>
          <w:b/>
          <w:iCs/>
          <w:sz w:val="24"/>
          <w:szCs w:val="24"/>
        </w:rPr>
        <w:t xml:space="preserve">). </w:t>
      </w:r>
    </w:p>
    <w:p w14:paraId="29AB16BB" w14:textId="0DDF00DC" w:rsidR="00752C9D" w:rsidRPr="00661BB8" w:rsidRDefault="00752C9D" w:rsidP="001F71B5">
      <w:pPr>
        <w:spacing w:line="240" w:lineRule="auto"/>
        <w:contextualSpacing/>
        <w:rPr>
          <w:rFonts w:ascii="Garamond" w:hAnsi="Garamond" w:cs="Times New Roman"/>
          <w:b/>
          <w:iCs/>
          <w:sz w:val="24"/>
          <w:szCs w:val="24"/>
        </w:rPr>
      </w:pPr>
    </w:p>
    <w:p w14:paraId="3F30B583" w14:textId="34F188D7" w:rsidR="00752C9D" w:rsidRPr="005C2E07" w:rsidRDefault="005C2E07" w:rsidP="001F71B5">
      <w:pPr>
        <w:spacing w:line="240" w:lineRule="auto"/>
        <w:contextualSpacing/>
        <w:rPr>
          <w:rFonts w:ascii="Garamond" w:hAnsi="Garamond" w:cs="Times New Roman"/>
          <w:b/>
          <w:iCs/>
          <w:sz w:val="24"/>
          <w:szCs w:val="24"/>
        </w:rPr>
      </w:pPr>
      <w:r w:rsidRPr="005C2E07">
        <w:rPr>
          <w:rFonts w:ascii="Garamond" w:hAnsi="Garamond" w:cs="Times New Roman"/>
          <w:b/>
          <w:iCs/>
          <w:sz w:val="24"/>
          <w:szCs w:val="24"/>
        </w:rPr>
        <w:t xml:space="preserve">Derek Beach and Rasmus Brun Pedersen, </w:t>
      </w:r>
      <w:r w:rsidRPr="005C2E07">
        <w:rPr>
          <w:rFonts w:ascii="Garamond" w:hAnsi="Garamond" w:cs="Times New Roman"/>
          <w:b/>
          <w:i/>
          <w:iCs/>
          <w:sz w:val="24"/>
          <w:szCs w:val="24"/>
        </w:rPr>
        <w:t>Process-Tracing Methods: Foundations and Guidelines</w:t>
      </w:r>
      <w:r w:rsidRPr="005C2E07">
        <w:rPr>
          <w:rFonts w:ascii="Garamond" w:hAnsi="Garamond" w:cs="Times New Roman"/>
          <w:b/>
          <w:iCs/>
          <w:sz w:val="24"/>
          <w:szCs w:val="24"/>
        </w:rPr>
        <w:t xml:space="preserve"> (Ann Arbor: University of Michigan Press, 2013)</w:t>
      </w:r>
      <w:r>
        <w:rPr>
          <w:rFonts w:ascii="Garamond" w:hAnsi="Garamond" w:cs="Times New Roman"/>
          <w:b/>
          <w:iCs/>
          <w:sz w:val="24"/>
          <w:szCs w:val="24"/>
        </w:rPr>
        <w:t xml:space="preserve"> (Chapter 3)</w:t>
      </w:r>
    </w:p>
    <w:p w14:paraId="67D14532" w14:textId="77777777" w:rsidR="00752C9D" w:rsidRDefault="00752C9D" w:rsidP="001F71B5">
      <w:pPr>
        <w:spacing w:line="240" w:lineRule="auto"/>
        <w:contextualSpacing/>
        <w:rPr>
          <w:rFonts w:ascii="Garamond" w:hAnsi="Garamond" w:cs="Times New Roman"/>
          <w:b/>
          <w:iCs/>
          <w:sz w:val="24"/>
          <w:szCs w:val="24"/>
        </w:rPr>
      </w:pPr>
    </w:p>
    <w:p w14:paraId="577A71D8" w14:textId="3F7EBAFB" w:rsidR="00C41BAD" w:rsidRPr="00B53149" w:rsidRDefault="00C41BAD" w:rsidP="001F71B5">
      <w:pPr>
        <w:spacing w:line="240" w:lineRule="auto"/>
        <w:contextualSpacing/>
        <w:rPr>
          <w:rFonts w:ascii="Garamond" w:hAnsi="Garamond" w:cs="Times New Roman"/>
          <w:b/>
          <w:iCs/>
          <w:sz w:val="24"/>
          <w:szCs w:val="24"/>
        </w:rPr>
      </w:pPr>
      <w:r>
        <w:rPr>
          <w:rFonts w:ascii="Garamond" w:hAnsi="Garamond" w:cs="Times New Roman"/>
          <w:b/>
          <w:iCs/>
          <w:sz w:val="24"/>
          <w:szCs w:val="24"/>
        </w:rPr>
        <w:t>Bent Flyvbjerg</w:t>
      </w:r>
      <w:r w:rsidR="00E448C5">
        <w:rPr>
          <w:rFonts w:ascii="Garamond" w:hAnsi="Garamond" w:cs="Times New Roman"/>
          <w:b/>
          <w:iCs/>
          <w:sz w:val="24"/>
          <w:szCs w:val="24"/>
        </w:rPr>
        <w:t xml:space="preserve">, “Five Misunderstandings About Case Study Research,” </w:t>
      </w:r>
      <w:r w:rsidR="00E448C5">
        <w:rPr>
          <w:rFonts w:ascii="Garamond" w:hAnsi="Garamond" w:cs="Times New Roman"/>
          <w:b/>
          <w:i/>
          <w:sz w:val="24"/>
          <w:szCs w:val="24"/>
        </w:rPr>
        <w:t>Qualitative Inquiry</w:t>
      </w:r>
      <w:r w:rsidR="00B53149">
        <w:rPr>
          <w:rFonts w:ascii="Garamond" w:hAnsi="Garamond" w:cs="Times New Roman"/>
          <w:b/>
          <w:i/>
          <w:sz w:val="24"/>
          <w:szCs w:val="24"/>
        </w:rPr>
        <w:t xml:space="preserve">, </w:t>
      </w:r>
      <w:r w:rsidR="00B53149">
        <w:rPr>
          <w:rFonts w:ascii="Garamond" w:hAnsi="Garamond" w:cs="Times New Roman"/>
          <w:b/>
          <w:iCs/>
          <w:sz w:val="24"/>
          <w:szCs w:val="24"/>
        </w:rPr>
        <w:t xml:space="preserve">12:2 (April 2006): </w:t>
      </w:r>
      <w:r w:rsidR="000A3D73">
        <w:rPr>
          <w:rFonts w:ascii="Garamond" w:hAnsi="Garamond" w:cs="Times New Roman"/>
          <w:b/>
          <w:iCs/>
          <w:sz w:val="24"/>
          <w:szCs w:val="24"/>
        </w:rPr>
        <w:t>219-245.</w:t>
      </w:r>
    </w:p>
    <w:p w14:paraId="137A03FB" w14:textId="77777777" w:rsidR="00C41BAD" w:rsidRPr="00661BB8" w:rsidRDefault="00C41BAD" w:rsidP="001F71B5">
      <w:pPr>
        <w:spacing w:line="240" w:lineRule="auto"/>
        <w:contextualSpacing/>
        <w:rPr>
          <w:rFonts w:ascii="Garamond" w:hAnsi="Garamond" w:cs="Times New Roman"/>
          <w:b/>
          <w:iCs/>
          <w:sz w:val="24"/>
          <w:szCs w:val="24"/>
        </w:rPr>
      </w:pPr>
    </w:p>
    <w:p w14:paraId="47A4E24F" w14:textId="6CB6B26D" w:rsidR="00752C9D" w:rsidRPr="00661BB8" w:rsidRDefault="00752C9D" w:rsidP="001F71B5">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fldChar w:fldCharType="begin"/>
      </w:r>
      <w:r w:rsidR="00A96125">
        <w:rPr>
          <w:rFonts w:ascii="Garamond" w:hAnsi="Garamond" w:cs="Times New Roman"/>
          <w:b/>
          <w:iCs/>
          <w:sz w:val="24"/>
          <w:szCs w:val="24"/>
        </w:rPr>
        <w:instrText xml:space="preserve"> ADDIN ZOTERO_ITEM CSL_CITATION {"citationID":"nSHudljh","properties":{"formattedCitation":"Joseph Torigian, \\uc0\\u8220{}A New Case for the Study of Individual Events in Political Science,\\uc0\\u8221{} {\\i{}Global Studies Quarterly} 1, no. 4 (December 2021): 1\\uc0\\u8211{}11.","plainCitation":"Joseph Torigian, “A New Case for the Study of Individual Events in Political Science,” Global Studies Quarterly 1, no. 4 (December 2021): 1–11.","noteIndex":0},"citationItems":[{"id":7641,"uris":["http://zotero.org/users/4231237/items/L9Q542CH"],"itemData":{"id":7641,"type":"article-journal","container-title":"Global Studies Quarterly","issue":"4","page":"1-11","title":"A New Case for the Study of Individual Events in Political Science","volume":"1","author":[{"family":"Torigian","given":"Joseph"}],"issued":{"date-parts":[["2021",12]]}}}],"schema":"https://github.com/citation-style-language/schema/raw/master/csl-citation.json"} </w:instrText>
      </w:r>
      <w:r w:rsidRPr="00661BB8">
        <w:rPr>
          <w:rFonts w:ascii="Garamond" w:hAnsi="Garamond" w:cs="Times New Roman"/>
          <w:b/>
          <w:iCs/>
          <w:sz w:val="24"/>
          <w:szCs w:val="24"/>
        </w:rPr>
        <w:fldChar w:fldCharType="separate"/>
      </w:r>
      <w:r w:rsidRPr="00661BB8">
        <w:rPr>
          <w:rFonts w:ascii="Garamond" w:hAnsi="Garamond" w:cs="Times New Roman"/>
          <w:b/>
          <w:iCs/>
          <w:sz w:val="24"/>
          <w:szCs w:val="24"/>
        </w:rPr>
        <w:t xml:space="preserve">Joseph Torigian, “A New Case for the Study of Individual Events in Political Science,” </w:t>
      </w:r>
      <w:r w:rsidRPr="00661BB8">
        <w:rPr>
          <w:rFonts w:ascii="Garamond" w:hAnsi="Garamond" w:cs="Times New Roman"/>
          <w:b/>
          <w:i/>
          <w:iCs/>
          <w:sz w:val="24"/>
          <w:szCs w:val="24"/>
        </w:rPr>
        <w:t>Global Studies Quarterly</w:t>
      </w:r>
      <w:r w:rsidRPr="00661BB8">
        <w:rPr>
          <w:rFonts w:ascii="Garamond" w:hAnsi="Garamond" w:cs="Times New Roman"/>
          <w:b/>
          <w:iCs/>
          <w:sz w:val="24"/>
          <w:szCs w:val="24"/>
        </w:rPr>
        <w:t xml:space="preserve"> , no. 4 (December 2021): 1–11.</w:t>
      </w:r>
      <w:r w:rsidRPr="00661BB8">
        <w:rPr>
          <w:rFonts w:ascii="Garamond" w:hAnsi="Garamond" w:cs="Times New Roman"/>
          <w:b/>
          <w:iCs/>
          <w:sz w:val="24"/>
          <w:szCs w:val="24"/>
        </w:rPr>
        <w:fldChar w:fldCharType="end"/>
      </w:r>
    </w:p>
    <w:p w14:paraId="16250A78" w14:textId="77777777" w:rsidR="00752C9D" w:rsidRDefault="00752C9D" w:rsidP="001F71B5">
      <w:pPr>
        <w:spacing w:line="240" w:lineRule="auto"/>
        <w:contextualSpacing/>
        <w:rPr>
          <w:rFonts w:ascii="Garamond" w:hAnsi="Garamond" w:cs="Times New Roman"/>
          <w:bCs/>
          <w:iCs/>
          <w:sz w:val="24"/>
          <w:szCs w:val="24"/>
        </w:rPr>
      </w:pPr>
    </w:p>
    <w:p w14:paraId="16FA511A" w14:textId="5322F7BC" w:rsidR="008F6F63" w:rsidRDefault="008F6F63" w:rsidP="001F71B5">
      <w:pPr>
        <w:spacing w:line="240" w:lineRule="auto"/>
        <w:contextualSpacing/>
        <w:rPr>
          <w:rFonts w:ascii="Garamond" w:hAnsi="Garamond" w:cs="Times New Roman"/>
          <w:bCs/>
          <w:iCs/>
          <w:sz w:val="24"/>
          <w:szCs w:val="24"/>
        </w:rPr>
      </w:pPr>
      <w:r>
        <w:rPr>
          <w:rFonts w:ascii="Garamond" w:hAnsi="Garamond" w:cs="Times New Roman"/>
          <w:bCs/>
          <w:iCs/>
          <w:sz w:val="24"/>
          <w:szCs w:val="24"/>
        </w:rPr>
        <w:t>OPTIONAL:</w:t>
      </w:r>
    </w:p>
    <w:p w14:paraId="14D64411" w14:textId="77777777" w:rsidR="002D2435" w:rsidRDefault="002D2435" w:rsidP="001F71B5">
      <w:pPr>
        <w:spacing w:line="240" w:lineRule="auto"/>
        <w:contextualSpacing/>
        <w:rPr>
          <w:rFonts w:ascii="Garamond" w:hAnsi="Garamond" w:cs="Times New Roman"/>
          <w:bCs/>
          <w:iCs/>
          <w:sz w:val="24"/>
          <w:szCs w:val="24"/>
        </w:rPr>
      </w:pPr>
    </w:p>
    <w:p w14:paraId="4CA56851" w14:textId="77777777" w:rsidR="002D2435" w:rsidRPr="002D2435" w:rsidRDefault="002D2435" w:rsidP="002D2435">
      <w:pPr>
        <w:spacing w:line="240" w:lineRule="auto"/>
        <w:contextualSpacing/>
        <w:rPr>
          <w:rFonts w:ascii="Garamond" w:hAnsi="Garamond" w:cs="Times New Roman"/>
          <w:bCs/>
          <w:iCs/>
          <w:sz w:val="24"/>
          <w:szCs w:val="24"/>
        </w:rPr>
      </w:pPr>
      <w:r w:rsidRPr="002D2435">
        <w:rPr>
          <w:rFonts w:ascii="Garamond" w:hAnsi="Garamond" w:cs="Times New Roman"/>
          <w:bCs/>
          <w:iCs/>
          <w:sz w:val="24"/>
          <w:szCs w:val="24"/>
        </w:rPr>
        <w:t xml:space="preserve">Peter A. Hall, “Systematic Process Analysis: When and How to Use It,” </w:t>
      </w:r>
      <w:r w:rsidRPr="002D2435">
        <w:rPr>
          <w:rFonts w:ascii="Garamond" w:hAnsi="Garamond" w:cs="Times New Roman"/>
          <w:bCs/>
          <w:i/>
          <w:iCs/>
          <w:sz w:val="24"/>
          <w:szCs w:val="24"/>
        </w:rPr>
        <w:t>European Management Review</w:t>
      </w:r>
      <w:r w:rsidRPr="002D2435">
        <w:rPr>
          <w:rFonts w:ascii="Garamond" w:hAnsi="Garamond" w:cs="Times New Roman"/>
          <w:bCs/>
          <w:iCs/>
          <w:sz w:val="24"/>
          <w:szCs w:val="24"/>
        </w:rPr>
        <w:t xml:space="preserve"> 3, no. 1 (2006): 24–31.</w:t>
      </w:r>
    </w:p>
    <w:p w14:paraId="7F86D789" w14:textId="670F4341" w:rsidR="008F6F63" w:rsidRDefault="008F6F63" w:rsidP="001F71B5">
      <w:pPr>
        <w:spacing w:line="240" w:lineRule="auto"/>
        <w:contextualSpacing/>
        <w:rPr>
          <w:rFonts w:ascii="Garamond" w:hAnsi="Garamond" w:cs="Times New Roman"/>
          <w:bCs/>
          <w:iCs/>
          <w:sz w:val="24"/>
          <w:szCs w:val="24"/>
        </w:rPr>
      </w:pPr>
    </w:p>
    <w:p w14:paraId="08658533" w14:textId="77777777" w:rsidR="0012427E" w:rsidRDefault="0012427E" w:rsidP="0012427E">
      <w:pPr>
        <w:spacing w:line="240" w:lineRule="auto"/>
        <w:contextualSpacing/>
        <w:rPr>
          <w:rFonts w:ascii="Garamond" w:hAnsi="Garamond" w:cs="Times New Roman"/>
          <w:bCs/>
          <w:iCs/>
          <w:sz w:val="24"/>
          <w:szCs w:val="24"/>
        </w:rPr>
      </w:pPr>
      <w:r w:rsidRPr="0012427E">
        <w:rPr>
          <w:rFonts w:ascii="Garamond" w:hAnsi="Garamond" w:cs="Times New Roman"/>
          <w:bCs/>
          <w:iCs/>
          <w:sz w:val="24"/>
          <w:szCs w:val="24"/>
        </w:rPr>
        <w:t xml:space="preserve">Jon Elster, </w:t>
      </w:r>
      <w:r w:rsidRPr="0012427E">
        <w:rPr>
          <w:rFonts w:ascii="Garamond" w:hAnsi="Garamond" w:cs="Times New Roman"/>
          <w:bCs/>
          <w:i/>
          <w:iCs/>
          <w:sz w:val="24"/>
          <w:szCs w:val="24"/>
        </w:rPr>
        <w:t>Explaining Social Behavior: More Nuts and Bolts for the Social Sciences</w:t>
      </w:r>
      <w:r w:rsidRPr="0012427E">
        <w:rPr>
          <w:rFonts w:ascii="Garamond" w:hAnsi="Garamond" w:cs="Times New Roman"/>
          <w:bCs/>
          <w:iCs/>
          <w:sz w:val="24"/>
          <w:szCs w:val="24"/>
        </w:rPr>
        <w:t xml:space="preserve"> (Cambridge: Cambridge University Press, 2007). Chapter 2. </w:t>
      </w:r>
    </w:p>
    <w:p w14:paraId="51648492" w14:textId="77777777" w:rsidR="0012427E" w:rsidRDefault="0012427E" w:rsidP="0012427E">
      <w:pPr>
        <w:spacing w:line="240" w:lineRule="auto"/>
        <w:contextualSpacing/>
        <w:rPr>
          <w:rFonts w:ascii="Garamond" w:hAnsi="Garamond" w:cs="Times New Roman"/>
          <w:bCs/>
          <w:iCs/>
          <w:sz w:val="24"/>
          <w:szCs w:val="24"/>
        </w:rPr>
      </w:pPr>
    </w:p>
    <w:p w14:paraId="3931EF1E" w14:textId="33247FAE" w:rsidR="0012427E" w:rsidRPr="0012427E" w:rsidRDefault="0012427E" w:rsidP="0012427E">
      <w:pPr>
        <w:spacing w:line="240" w:lineRule="auto"/>
        <w:contextualSpacing/>
        <w:rPr>
          <w:rFonts w:ascii="Garamond" w:hAnsi="Garamond" w:cs="Times New Roman"/>
          <w:bCs/>
          <w:iCs/>
          <w:sz w:val="24"/>
          <w:szCs w:val="24"/>
        </w:rPr>
      </w:pPr>
      <w:r w:rsidRPr="0012427E">
        <w:rPr>
          <w:rFonts w:ascii="Garamond" w:hAnsi="Garamond" w:cs="Times New Roman"/>
          <w:bCs/>
          <w:iCs/>
          <w:sz w:val="24"/>
          <w:szCs w:val="24"/>
        </w:rPr>
        <w:t xml:space="preserve">Charles Tilly, “Mechanisms in Political Processes,” </w:t>
      </w:r>
      <w:r w:rsidRPr="0012427E">
        <w:rPr>
          <w:rFonts w:ascii="Garamond" w:hAnsi="Garamond" w:cs="Times New Roman"/>
          <w:bCs/>
          <w:i/>
          <w:iCs/>
          <w:sz w:val="24"/>
          <w:szCs w:val="24"/>
        </w:rPr>
        <w:t>Annual Review of Political Science</w:t>
      </w:r>
      <w:r w:rsidRPr="0012427E">
        <w:rPr>
          <w:rFonts w:ascii="Garamond" w:hAnsi="Garamond" w:cs="Times New Roman"/>
          <w:bCs/>
          <w:iCs/>
          <w:sz w:val="24"/>
          <w:szCs w:val="24"/>
        </w:rPr>
        <w:t xml:space="preserve"> 4, no. 1 (2001): 21–41.</w:t>
      </w:r>
    </w:p>
    <w:p w14:paraId="6DC3B78D" w14:textId="77777777" w:rsidR="0012427E" w:rsidRDefault="0012427E" w:rsidP="001F71B5">
      <w:pPr>
        <w:spacing w:line="240" w:lineRule="auto"/>
        <w:contextualSpacing/>
        <w:rPr>
          <w:rFonts w:ascii="Garamond" w:hAnsi="Garamond" w:cs="Times New Roman"/>
          <w:bCs/>
          <w:iCs/>
          <w:sz w:val="24"/>
          <w:szCs w:val="24"/>
        </w:rPr>
      </w:pPr>
    </w:p>
    <w:p w14:paraId="4F9407B4" w14:textId="437AD367" w:rsidR="008F6F63" w:rsidRDefault="008F6F63" w:rsidP="001F71B5">
      <w:pPr>
        <w:spacing w:line="240" w:lineRule="auto"/>
        <w:contextualSpacing/>
        <w:rPr>
          <w:rFonts w:ascii="Garamond" w:hAnsi="Garamond" w:cs="Times New Roman"/>
          <w:bCs/>
          <w:iCs/>
          <w:sz w:val="24"/>
          <w:szCs w:val="24"/>
        </w:rPr>
      </w:pPr>
      <w:r w:rsidRPr="008F6F63">
        <w:rPr>
          <w:rFonts w:ascii="Garamond" w:hAnsi="Garamond" w:cs="Times New Roman"/>
          <w:bCs/>
          <w:iCs/>
          <w:sz w:val="24"/>
          <w:szCs w:val="24"/>
        </w:rPr>
        <w:t xml:space="preserve">Dietrich Rueschemeyer, “Can One or a Few Cases Yield Theoretical Gains?,” in </w:t>
      </w:r>
      <w:r w:rsidRPr="008F6F63">
        <w:rPr>
          <w:rFonts w:ascii="Garamond" w:hAnsi="Garamond" w:cs="Times New Roman"/>
          <w:bCs/>
          <w:i/>
          <w:iCs/>
          <w:sz w:val="24"/>
          <w:szCs w:val="24"/>
        </w:rPr>
        <w:t>Comparative Historical Analysis in the Social Sciences</w:t>
      </w:r>
      <w:r w:rsidRPr="008F6F63">
        <w:rPr>
          <w:rFonts w:ascii="Garamond" w:hAnsi="Garamond" w:cs="Times New Roman"/>
          <w:bCs/>
          <w:iCs/>
          <w:sz w:val="24"/>
          <w:szCs w:val="24"/>
        </w:rPr>
        <w:t>, ed. James Mahoney and Dietrich Rueschemeyer (Cambridge: Cambridge University Press, 2003), 305–36.</w:t>
      </w:r>
    </w:p>
    <w:p w14:paraId="5A0CE1F2" w14:textId="3B44DE5A" w:rsidR="00752C9D" w:rsidRDefault="00752C9D" w:rsidP="001F71B5">
      <w:pPr>
        <w:spacing w:line="240" w:lineRule="auto"/>
        <w:contextualSpacing/>
        <w:rPr>
          <w:rFonts w:ascii="Garamond" w:hAnsi="Garamond" w:cs="Times New Roman"/>
          <w:bCs/>
          <w:iCs/>
          <w:sz w:val="24"/>
          <w:szCs w:val="24"/>
        </w:rPr>
      </w:pPr>
    </w:p>
    <w:p w14:paraId="68C77DA6" w14:textId="57B339AA" w:rsidR="00752C9D" w:rsidRDefault="00752C9D" w:rsidP="001F71B5">
      <w:pPr>
        <w:spacing w:line="240" w:lineRule="auto"/>
        <w:contextualSpacing/>
        <w:rPr>
          <w:rFonts w:ascii="Garamond" w:hAnsi="Garamond" w:cs="Times New Roman"/>
          <w:bCs/>
          <w:iCs/>
          <w:sz w:val="24"/>
          <w:szCs w:val="24"/>
        </w:rPr>
      </w:pPr>
      <w:r w:rsidRPr="00752C9D">
        <w:rPr>
          <w:rFonts w:ascii="Garamond" w:hAnsi="Garamond" w:cs="Times New Roman"/>
          <w:bCs/>
          <w:iCs/>
          <w:sz w:val="24"/>
          <w:szCs w:val="24"/>
        </w:rPr>
        <w:t xml:space="preserve">Anna Grzymala-Busse, “Time Will Tell? Temporality and the Analysis of Causal Mechanisms and Processes,” </w:t>
      </w:r>
      <w:r w:rsidRPr="00752C9D">
        <w:rPr>
          <w:rFonts w:ascii="Garamond" w:hAnsi="Garamond" w:cs="Times New Roman"/>
          <w:bCs/>
          <w:i/>
          <w:iCs/>
          <w:sz w:val="24"/>
          <w:szCs w:val="24"/>
        </w:rPr>
        <w:t>Comparative Political Studies</w:t>
      </w:r>
      <w:r w:rsidRPr="00752C9D">
        <w:rPr>
          <w:rFonts w:ascii="Garamond" w:hAnsi="Garamond" w:cs="Times New Roman"/>
          <w:bCs/>
          <w:iCs/>
          <w:sz w:val="24"/>
          <w:szCs w:val="24"/>
        </w:rPr>
        <w:t xml:space="preserve"> 44, no. 9 (2011): 1267–97</w:t>
      </w:r>
      <w:r w:rsidR="00726356">
        <w:rPr>
          <w:rFonts w:ascii="Garamond" w:hAnsi="Garamond" w:cs="Times New Roman"/>
          <w:bCs/>
          <w:iCs/>
          <w:sz w:val="24"/>
          <w:szCs w:val="24"/>
        </w:rPr>
        <w:t>.</w:t>
      </w:r>
    </w:p>
    <w:p w14:paraId="652223E2" w14:textId="69C78AD0" w:rsidR="00752C9D" w:rsidRDefault="00752C9D" w:rsidP="001F71B5">
      <w:pPr>
        <w:spacing w:line="240" w:lineRule="auto"/>
        <w:contextualSpacing/>
        <w:rPr>
          <w:rFonts w:ascii="Garamond" w:hAnsi="Garamond" w:cs="Times New Roman"/>
          <w:bCs/>
          <w:iCs/>
          <w:sz w:val="24"/>
          <w:szCs w:val="24"/>
        </w:rPr>
      </w:pPr>
    </w:p>
    <w:p w14:paraId="588D998F" w14:textId="286188D6" w:rsidR="00612EBA" w:rsidRDefault="00612EBA" w:rsidP="001F71B5">
      <w:pPr>
        <w:spacing w:line="240" w:lineRule="auto"/>
        <w:contextualSpacing/>
        <w:rPr>
          <w:rFonts w:ascii="Garamond" w:hAnsi="Garamond" w:cs="Times New Roman"/>
          <w:bCs/>
          <w:iCs/>
          <w:sz w:val="24"/>
          <w:szCs w:val="24"/>
        </w:rPr>
      </w:pPr>
      <w:r w:rsidRPr="00612EBA">
        <w:rPr>
          <w:rFonts w:ascii="Garamond" w:hAnsi="Garamond" w:cs="Times New Roman"/>
          <w:bCs/>
          <w:iCs/>
          <w:sz w:val="24"/>
          <w:szCs w:val="24"/>
        </w:rPr>
        <w:t xml:space="preserve">James Mahoney, “The Logic of Process Tracing Tests in the Social Sciences,” </w:t>
      </w:r>
      <w:r w:rsidRPr="00612EBA">
        <w:rPr>
          <w:rFonts w:ascii="Garamond" w:hAnsi="Garamond" w:cs="Times New Roman"/>
          <w:bCs/>
          <w:i/>
          <w:iCs/>
          <w:sz w:val="24"/>
          <w:szCs w:val="24"/>
        </w:rPr>
        <w:t>Sociological Methods &amp; Research</w:t>
      </w:r>
      <w:r w:rsidRPr="00612EBA">
        <w:rPr>
          <w:rFonts w:ascii="Garamond" w:hAnsi="Garamond" w:cs="Times New Roman"/>
          <w:bCs/>
          <w:iCs/>
          <w:sz w:val="24"/>
          <w:szCs w:val="24"/>
        </w:rPr>
        <w:t xml:space="preserve"> 41, no. 4 (November 2012): 570–97.</w:t>
      </w:r>
    </w:p>
    <w:p w14:paraId="2725351E" w14:textId="77777777" w:rsidR="00752C9D" w:rsidRDefault="00752C9D" w:rsidP="001F71B5">
      <w:pPr>
        <w:spacing w:line="240" w:lineRule="auto"/>
        <w:contextualSpacing/>
        <w:rPr>
          <w:rFonts w:ascii="Garamond" w:hAnsi="Garamond" w:cs="Times New Roman"/>
          <w:bCs/>
          <w:iCs/>
          <w:sz w:val="24"/>
          <w:szCs w:val="24"/>
        </w:rPr>
      </w:pPr>
    </w:p>
    <w:p w14:paraId="31FE9F13" w14:textId="77777777" w:rsidR="00752C9D" w:rsidRPr="00752C9D" w:rsidRDefault="00752C9D" w:rsidP="00752C9D">
      <w:pPr>
        <w:spacing w:line="240" w:lineRule="auto"/>
        <w:contextualSpacing/>
        <w:rPr>
          <w:rFonts w:ascii="Garamond" w:hAnsi="Garamond" w:cs="Times New Roman"/>
          <w:bCs/>
          <w:iCs/>
          <w:sz w:val="24"/>
          <w:szCs w:val="24"/>
        </w:rPr>
      </w:pPr>
      <w:r w:rsidRPr="00752C9D">
        <w:rPr>
          <w:rFonts w:ascii="Garamond" w:hAnsi="Garamond" w:cs="Times New Roman"/>
          <w:bCs/>
          <w:iCs/>
          <w:sz w:val="24"/>
          <w:szCs w:val="24"/>
        </w:rPr>
        <w:lastRenderedPageBreak/>
        <w:t xml:space="preserve">Roger Peterson, “Mechanisms and Structures in Comparisons,” in </w:t>
      </w:r>
      <w:r w:rsidRPr="00752C9D">
        <w:rPr>
          <w:rFonts w:ascii="Garamond" w:hAnsi="Garamond" w:cs="Times New Roman"/>
          <w:bCs/>
          <w:i/>
          <w:iCs/>
          <w:sz w:val="24"/>
          <w:szCs w:val="24"/>
        </w:rPr>
        <w:t>Critical Comparisons in Politics and Culture</w:t>
      </w:r>
      <w:r w:rsidRPr="00752C9D">
        <w:rPr>
          <w:rFonts w:ascii="Garamond" w:hAnsi="Garamond" w:cs="Times New Roman"/>
          <w:bCs/>
          <w:iCs/>
          <w:sz w:val="24"/>
          <w:szCs w:val="24"/>
        </w:rPr>
        <w:t>, ed. John Bowen and Roger Petersen (Cambridge: Cambridge University Press, 1999), 61–77.</w:t>
      </w:r>
    </w:p>
    <w:p w14:paraId="6E80ECA1" w14:textId="28EF0998" w:rsidR="00EE3E9E" w:rsidRDefault="00EE3E9E" w:rsidP="001F71B5">
      <w:pPr>
        <w:spacing w:line="240" w:lineRule="auto"/>
        <w:contextualSpacing/>
        <w:rPr>
          <w:rFonts w:ascii="Garamond" w:hAnsi="Garamond" w:cs="Times New Roman"/>
          <w:bCs/>
          <w:iCs/>
          <w:sz w:val="24"/>
          <w:szCs w:val="24"/>
        </w:rPr>
      </w:pPr>
    </w:p>
    <w:p w14:paraId="12653FB7" w14:textId="60A92B05" w:rsidR="00752C9D" w:rsidRDefault="00752C9D" w:rsidP="00752C9D">
      <w:pPr>
        <w:spacing w:line="240" w:lineRule="auto"/>
        <w:contextualSpacing/>
        <w:rPr>
          <w:rFonts w:ascii="Garamond" w:hAnsi="Garamond" w:cs="Times New Roman"/>
          <w:bCs/>
          <w:iCs/>
          <w:sz w:val="24"/>
          <w:szCs w:val="24"/>
        </w:rPr>
      </w:pPr>
      <w:r w:rsidRPr="00752C9D">
        <w:rPr>
          <w:rFonts w:ascii="Garamond" w:hAnsi="Garamond" w:cs="Times New Roman"/>
          <w:bCs/>
          <w:iCs/>
          <w:sz w:val="24"/>
          <w:szCs w:val="24"/>
        </w:rPr>
        <w:t xml:space="preserve">Nathaniel Beck, “Is Causal-Process Observation an Oxymoron?,” </w:t>
      </w:r>
      <w:r w:rsidRPr="00752C9D">
        <w:rPr>
          <w:rFonts w:ascii="Garamond" w:hAnsi="Garamond" w:cs="Times New Roman"/>
          <w:bCs/>
          <w:i/>
          <w:iCs/>
          <w:sz w:val="24"/>
          <w:szCs w:val="24"/>
        </w:rPr>
        <w:t>Political Analysis</w:t>
      </w:r>
      <w:r w:rsidRPr="00752C9D">
        <w:rPr>
          <w:rFonts w:ascii="Garamond" w:hAnsi="Garamond" w:cs="Times New Roman"/>
          <w:bCs/>
          <w:iCs/>
          <w:sz w:val="24"/>
          <w:szCs w:val="24"/>
        </w:rPr>
        <w:t xml:space="preserve"> 14, no. 3 (June 20, 2006): 347–52.</w:t>
      </w:r>
    </w:p>
    <w:p w14:paraId="27983AA9" w14:textId="3F1C4214" w:rsidR="00752C9D" w:rsidRDefault="00752C9D" w:rsidP="00752C9D">
      <w:pPr>
        <w:spacing w:line="240" w:lineRule="auto"/>
        <w:contextualSpacing/>
        <w:rPr>
          <w:rFonts w:ascii="Garamond" w:hAnsi="Garamond" w:cs="Times New Roman"/>
          <w:bCs/>
          <w:iCs/>
          <w:sz w:val="24"/>
          <w:szCs w:val="24"/>
        </w:rPr>
      </w:pPr>
    </w:p>
    <w:p w14:paraId="70FB4F9A" w14:textId="77777777" w:rsidR="0070482C" w:rsidRPr="00661BB8" w:rsidRDefault="0070482C" w:rsidP="0070482C">
      <w:pPr>
        <w:spacing w:line="240" w:lineRule="auto"/>
        <w:contextualSpacing/>
        <w:rPr>
          <w:rFonts w:ascii="Garamond" w:hAnsi="Garamond" w:cs="Times New Roman"/>
          <w:b/>
          <w:i/>
          <w:sz w:val="24"/>
          <w:szCs w:val="24"/>
        </w:rPr>
      </w:pPr>
      <w:r w:rsidRPr="00661BB8">
        <w:rPr>
          <w:rFonts w:ascii="Garamond" w:hAnsi="Garamond" w:cs="Times New Roman"/>
          <w:b/>
          <w:i/>
          <w:sz w:val="24"/>
          <w:szCs w:val="24"/>
        </w:rPr>
        <w:t>How should I organize my research?</w:t>
      </w:r>
    </w:p>
    <w:p w14:paraId="7429A979" w14:textId="77777777" w:rsidR="0070482C" w:rsidRPr="00661BB8" w:rsidRDefault="0070482C" w:rsidP="0070482C">
      <w:pPr>
        <w:spacing w:line="240" w:lineRule="auto"/>
        <w:contextualSpacing/>
        <w:rPr>
          <w:rFonts w:ascii="Garamond" w:hAnsi="Garamond" w:cs="Times New Roman"/>
          <w:b/>
          <w:i/>
          <w:sz w:val="24"/>
          <w:szCs w:val="24"/>
        </w:rPr>
      </w:pPr>
    </w:p>
    <w:p w14:paraId="01A51DBC" w14:textId="7734DFFF" w:rsidR="008B46D1" w:rsidRPr="007158C4" w:rsidRDefault="0070482C" w:rsidP="001F71B5">
      <w:pPr>
        <w:spacing w:line="240" w:lineRule="auto"/>
        <w:contextualSpacing/>
        <w:rPr>
          <w:rFonts w:ascii="Garamond" w:hAnsi="Garamond" w:cs="Times New Roman"/>
          <w:b/>
          <w:iCs/>
          <w:sz w:val="24"/>
          <w:szCs w:val="24"/>
        </w:rPr>
      </w:pPr>
      <w:r w:rsidRPr="00661BB8">
        <w:rPr>
          <w:rFonts w:ascii="Garamond" w:hAnsi="Garamond" w:cs="Times New Roman"/>
          <w:b/>
          <w:iCs/>
          <w:sz w:val="24"/>
          <w:szCs w:val="24"/>
        </w:rPr>
        <w:t xml:space="preserve">Kapiszewski, MacLean, and Read, </w:t>
      </w:r>
      <w:r w:rsidRPr="00661BB8">
        <w:rPr>
          <w:rFonts w:ascii="Garamond" w:hAnsi="Garamond" w:cs="Times New Roman"/>
          <w:b/>
          <w:i/>
          <w:iCs/>
          <w:sz w:val="24"/>
          <w:szCs w:val="24"/>
        </w:rPr>
        <w:t>Field Research in Political Science: Practices and Principles</w:t>
      </w:r>
      <w:r w:rsidR="006152B8">
        <w:rPr>
          <w:rFonts w:ascii="Garamond" w:hAnsi="Garamond" w:cs="Times New Roman"/>
          <w:b/>
          <w:i/>
          <w:iCs/>
          <w:sz w:val="24"/>
          <w:szCs w:val="24"/>
        </w:rPr>
        <w:t xml:space="preserve"> </w:t>
      </w:r>
      <w:r w:rsidR="006152B8" w:rsidRPr="00581C95">
        <w:rPr>
          <w:rFonts w:ascii="Garamond" w:hAnsi="Garamond" w:cs="Times New Roman"/>
          <w:b/>
          <w:bCs/>
          <w:sz w:val="24"/>
          <w:szCs w:val="24"/>
        </w:rPr>
        <w:t>(Cambridge: Cambridge University Press, 2015)</w:t>
      </w:r>
      <w:r w:rsidRPr="00661BB8">
        <w:rPr>
          <w:rFonts w:ascii="Garamond" w:hAnsi="Garamond" w:cs="Times New Roman"/>
          <w:b/>
          <w:iCs/>
          <w:sz w:val="24"/>
          <w:szCs w:val="24"/>
        </w:rPr>
        <w:t>, 89–99.</w:t>
      </w:r>
    </w:p>
    <w:p w14:paraId="6B35637B" w14:textId="7A3654A6" w:rsidR="00A57F0C" w:rsidRDefault="00A57F0C" w:rsidP="00F4007A">
      <w:pPr>
        <w:spacing w:line="240" w:lineRule="auto"/>
        <w:contextualSpacing/>
        <w:rPr>
          <w:rFonts w:ascii="Garamond" w:hAnsi="Garamond" w:cs="Times New Roman"/>
          <w:sz w:val="24"/>
          <w:szCs w:val="24"/>
        </w:rPr>
      </w:pPr>
    </w:p>
    <w:p w14:paraId="115A64F6" w14:textId="72638C68" w:rsidR="00A57F0C" w:rsidRDefault="00A57F0C" w:rsidP="00F4007A">
      <w:pPr>
        <w:spacing w:line="240" w:lineRule="auto"/>
        <w:contextualSpacing/>
        <w:rPr>
          <w:rFonts w:ascii="Garamond" w:hAnsi="Garamond" w:cs="Times New Roman"/>
          <w:sz w:val="24"/>
          <w:szCs w:val="24"/>
        </w:rPr>
      </w:pPr>
      <w:r>
        <w:rPr>
          <w:rFonts w:ascii="Garamond" w:hAnsi="Garamond" w:cs="Times New Roman"/>
          <w:sz w:val="24"/>
          <w:szCs w:val="24"/>
        </w:rPr>
        <w:t>OPTIONAL:</w:t>
      </w:r>
    </w:p>
    <w:p w14:paraId="700E74D4" w14:textId="75A4DD60" w:rsidR="00A57F0C" w:rsidRDefault="00A57F0C" w:rsidP="00F4007A">
      <w:pPr>
        <w:spacing w:line="240" w:lineRule="auto"/>
        <w:contextualSpacing/>
        <w:rPr>
          <w:rFonts w:ascii="Garamond" w:hAnsi="Garamond" w:cs="Times New Roman"/>
          <w:sz w:val="24"/>
          <w:szCs w:val="24"/>
        </w:rPr>
      </w:pPr>
    </w:p>
    <w:p w14:paraId="30B22C1E" w14:textId="30596694" w:rsidR="00F4007A" w:rsidRPr="002D01A1" w:rsidRDefault="00A57F0C" w:rsidP="001D78EA">
      <w:pPr>
        <w:spacing w:line="240" w:lineRule="auto"/>
        <w:contextualSpacing/>
        <w:rPr>
          <w:rFonts w:ascii="Garamond" w:hAnsi="Garamond" w:cs="Times New Roman"/>
          <w:sz w:val="24"/>
          <w:szCs w:val="24"/>
        </w:rPr>
      </w:pPr>
      <w:r>
        <w:rPr>
          <w:rFonts w:ascii="Garamond" w:hAnsi="Garamond" w:cs="Times New Roman"/>
          <w:sz w:val="24"/>
          <w:szCs w:val="24"/>
        </w:rPr>
        <w:t xml:space="preserve">Elisabeth Jean Wood, “The Ethical Challenges of Field Research in Conflict Zones,” </w:t>
      </w:r>
      <w:r>
        <w:rPr>
          <w:rFonts w:ascii="Garamond" w:hAnsi="Garamond" w:cs="Times New Roman"/>
          <w:i/>
          <w:iCs/>
          <w:sz w:val="24"/>
          <w:szCs w:val="24"/>
        </w:rPr>
        <w:t>Qualitative Sociology</w:t>
      </w:r>
      <w:r>
        <w:rPr>
          <w:rFonts w:ascii="Garamond" w:hAnsi="Garamond" w:cs="Times New Roman"/>
          <w:sz w:val="24"/>
          <w:szCs w:val="24"/>
        </w:rPr>
        <w:t>, 29: 3, (2006): 373</w:t>
      </w:r>
      <w:r w:rsidR="00D81E2C">
        <w:rPr>
          <w:rFonts w:ascii="Garamond" w:hAnsi="Garamond" w:cs="Times New Roman"/>
          <w:sz w:val="24"/>
          <w:szCs w:val="24"/>
        </w:rPr>
        <w:t>–</w:t>
      </w:r>
      <w:r>
        <w:rPr>
          <w:rFonts w:ascii="Garamond" w:hAnsi="Garamond" w:cs="Times New Roman"/>
          <w:sz w:val="24"/>
          <w:szCs w:val="24"/>
        </w:rPr>
        <w:t>86</w:t>
      </w:r>
      <w:r w:rsidR="00D81E2C">
        <w:rPr>
          <w:rFonts w:ascii="Garamond" w:hAnsi="Garamond" w:cs="Times New Roman"/>
          <w:sz w:val="24"/>
          <w:szCs w:val="24"/>
        </w:rPr>
        <w:t>.</w:t>
      </w:r>
    </w:p>
    <w:p w14:paraId="6E72E54C" w14:textId="792CDA33" w:rsidR="001D78EA" w:rsidRDefault="001D78EA" w:rsidP="001D78EA">
      <w:pPr>
        <w:spacing w:line="240" w:lineRule="auto"/>
        <w:contextualSpacing/>
        <w:rPr>
          <w:rFonts w:ascii="Garamond" w:hAnsi="Garamond" w:cs="Times New Roman"/>
          <w:sz w:val="24"/>
          <w:szCs w:val="24"/>
        </w:rPr>
      </w:pPr>
    </w:p>
    <w:p w14:paraId="21903E85" w14:textId="2FEFBFA6" w:rsidR="00A57F0C" w:rsidRDefault="00A57F0C" w:rsidP="00A57F0C">
      <w:pPr>
        <w:spacing w:line="240" w:lineRule="auto"/>
        <w:contextualSpacing/>
        <w:rPr>
          <w:rFonts w:ascii="Garamond" w:hAnsi="Garamond" w:cs="Times New Roman"/>
          <w:sz w:val="24"/>
          <w:szCs w:val="24"/>
        </w:rPr>
      </w:pPr>
      <w:r w:rsidRPr="00905873">
        <w:rPr>
          <w:rFonts w:ascii="Garamond" w:hAnsi="Garamond" w:cs="Times New Roman"/>
          <w:sz w:val="24"/>
          <w:szCs w:val="24"/>
        </w:rPr>
        <w:fldChar w:fldCharType="begin"/>
      </w:r>
      <w:r w:rsidR="00A96125">
        <w:rPr>
          <w:rFonts w:ascii="Garamond" w:hAnsi="Garamond" w:cs="Times New Roman"/>
          <w:sz w:val="24"/>
          <w:szCs w:val="24"/>
        </w:rPr>
        <w:instrText xml:space="preserve"> ADDIN ZOTERO_ITEM CSL_CITATION {"citationID":"XPjJK04b","properties":{"formattedCitation":"Eunji Kim et al., \\uc0\\u8220{}Navigating \\uc0\\u8216{}Insider\\uc0\\u8217{} and \\uc0\\u8216{}Outsider\\uc0\\u8217{} Status as Researchers Conducting Field Experiments,\\uc0\\u8221{} {\\i{}PS: Political Science &amp; Politics} 55, no. 4 (October 2022): 754\\uc0\\u8211{}58.","plainCitation":"Eunji Kim et al., “Navigating ‘Insider’ and ‘Outsider’ Status as Researchers Conducting Field Experiments,” PS: Political Science &amp; Politics 55, no. 4 (October 2022): 754–58.","noteIndex":0},"citationItems":[{"id":13686,"uris":["http://zotero.org/users/4231237/items/ESGPTDAI"],"itemData":{"id":13686,"type":"article-journal","container-title":"PS: Political Science &amp; Politics","issue":"4","page":"754-758","title":"Navigating \"Insider\" and \"Outsider\" Status as Researchers Conducting Field Experiments","volume":"55","author":[{"family":"Kim","given":"Eunji"},{"family":"Badrinathan","given":"Sumitra"},{"family":"Choi","given":"Donghyun Danny"},{"family":"Karim","given":"Sabrina"},{"family":"Zhou","given":"Yang-Yang"}],"issued":{"date-parts":[["2022",10]]}}}],"schema":"https://github.com/citation-style-language/schema/raw/master/csl-citation.json"} </w:instrText>
      </w:r>
      <w:r w:rsidRPr="00905873">
        <w:rPr>
          <w:rFonts w:ascii="Garamond" w:hAnsi="Garamond" w:cs="Times New Roman"/>
          <w:sz w:val="24"/>
          <w:szCs w:val="24"/>
        </w:rPr>
        <w:fldChar w:fldCharType="separate"/>
      </w:r>
      <w:r w:rsidRPr="00905873">
        <w:rPr>
          <w:rFonts w:ascii="Garamond" w:hAnsi="Garamond" w:cs="Times New Roman"/>
          <w:sz w:val="24"/>
          <w:szCs w:val="24"/>
        </w:rPr>
        <w:t xml:space="preserve">Eunji Kim et al., “Navigating ‘Insider’ and ‘Outsider’ Status as Researchers Conducting Field Experiments,” </w:t>
      </w:r>
      <w:r w:rsidRPr="00905873">
        <w:rPr>
          <w:rFonts w:ascii="Garamond" w:hAnsi="Garamond" w:cs="Times New Roman"/>
          <w:i/>
          <w:iCs/>
          <w:sz w:val="24"/>
          <w:szCs w:val="24"/>
        </w:rPr>
        <w:t>PS: Political Science &amp; Politics</w:t>
      </w:r>
      <w:r w:rsidRPr="00905873">
        <w:rPr>
          <w:rFonts w:ascii="Garamond" w:hAnsi="Garamond" w:cs="Times New Roman"/>
          <w:sz w:val="24"/>
          <w:szCs w:val="24"/>
        </w:rPr>
        <w:t xml:space="preserve"> 55, no. 4 (October 2022): 754–58.</w:t>
      </w:r>
      <w:r w:rsidRPr="00905873">
        <w:rPr>
          <w:rFonts w:ascii="Garamond" w:hAnsi="Garamond" w:cs="Times New Roman"/>
          <w:sz w:val="24"/>
          <w:szCs w:val="24"/>
        </w:rPr>
        <w:fldChar w:fldCharType="end"/>
      </w:r>
    </w:p>
    <w:p w14:paraId="28D22989" w14:textId="77777777" w:rsidR="00A57F0C" w:rsidRDefault="00A57F0C" w:rsidP="001D78EA">
      <w:pPr>
        <w:spacing w:line="240" w:lineRule="auto"/>
        <w:contextualSpacing/>
        <w:rPr>
          <w:rFonts w:ascii="Garamond" w:hAnsi="Garamond" w:cs="Times New Roman"/>
          <w:sz w:val="24"/>
          <w:szCs w:val="24"/>
        </w:rPr>
      </w:pPr>
    </w:p>
    <w:p w14:paraId="0DAD9D9F" w14:textId="77777777" w:rsidR="009A504C" w:rsidRDefault="009A504C" w:rsidP="001F71B5">
      <w:pPr>
        <w:spacing w:line="240" w:lineRule="auto"/>
        <w:contextualSpacing/>
        <w:rPr>
          <w:rFonts w:ascii="Garamond" w:hAnsi="Garamond" w:cs="Times New Roman"/>
          <w:b/>
          <w:i/>
          <w:sz w:val="24"/>
          <w:szCs w:val="24"/>
        </w:rPr>
      </w:pPr>
    </w:p>
    <w:p w14:paraId="710B80EA" w14:textId="77777777" w:rsidR="009A504C" w:rsidRDefault="009A504C" w:rsidP="001F71B5">
      <w:pPr>
        <w:spacing w:line="240" w:lineRule="auto"/>
        <w:contextualSpacing/>
        <w:rPr>
          <w:rFonts w:ascii="Garamond" w:hAnsi="Garamond" w:cs="Times New Roman"/>
          <w:b/>
          <w:i/>
          <w:sz w:val="24"/>
          <w:szCs w:val="24"/>
        </w:rPr>
      </w:pPr>
    </w:p>
    <w:p w14:paraId="0978BB59" w14:textId="24B09E2A" w:rsidR="00687D03" w:rsidRDefault="00687D03" w:rsidP="001F71B5">
      <w:pPr>
        <w:spacing w:line="240" w:lineRule="auto"/>
        <w:contextualSpacing/>
        <w:rPr>
          <w:rFonts w:ascii="Garamond" w:hAnsi="Garamond" w:cs="Times New Roman"/>
          <w:b/>
          <w:i/>
          <w:sz w:val="24"/>
          <w:szCs w:val="24"/>
        </w:rPr>
      </w:pPr>
      <w:r>
        <w:rPr>
          <w:rFonts w:ascii="Garamond" w:hAnsi="Garamond" w:cs="Times New Roman"/>
          <w:b/>
          <w:i/>
          <w:sz w:val="24"/>
          <w:szCs w:val="24"/>
        </w:rPr>
        <w:t>We are not able to cover everything this semester. You may be interested in further reading on the following subjects.</w:t>
      </w:r>
    </w:p>
    <w:p w14:paraId="5D0E9C92" w14:textId="77777777" w:rsidR="009A504C" w:rsidRDefault="009A504C" w:rsidP="001F71B5">
      <w:pPr>
        <w:spacing w:line="240" w:lineRule="auto"/>
        <w:contextualSpacing/>
        <w:rPr>
          <w:rFonts w:ascii="Garamond" w:hAnsi="Garamond" w:cs="Times New Roman"/>
          <w:b/>
          <w:i/>
          <w:sz w:val="24"/>
          <w:szCs w:val="24"/>
        </w:rPr>
      </w:pPr>
    </w:p>
    <w:p w14:paraId="5DECA1D0" w14:textId="1D9872C9" w:rsidR="009A504C" w:rsidRDefault="009A504C" w:rsidP="001F71B5">
      <w:pPr>
        <w:spacing w:line="240" w:lineRule="auto"/>
        <w:contextualSpacing/>
        <w:rPr>
          <w:rFonts w:ascii="Garamond" w:hAnsi="Garamond" w:cs="Times New Roman"/>
          <w:b/>
          <w:i/>
          <w:sz w:val="24"/>
          <w:szCs w:val="24"/>
        </w:rPr>
      </w:pPr>
      <w:r>
        <w:rPr>
          <w:rFonts w:ascii="Garamond" w:hAnsi="Garamond" w:cs="Times New Roman"/>
          <w:b/>
          <w:i/>
          <w:sz w:val="24"/>
          <w:szCs w:val="24"/>
        </w:rPr>
        <w:t>Historical institutionalism:</w:t>
      </w:r>
    </w:p>
    <w:p w14:paraId="144ABD0A" w14:textId="77777777" w:rsidR="009A504C" w:rsidRDefault="009A504C" w:rsidP="001F71B5">
      <w:pPr>
        <w:spacing w:line="240" w:lineRule="auto"/>
        <w:contextualSpacing/>
        <w:rPr>
          <w:rFonts w:ascii="Garamond" w:hAnsi="Garamond" w:cs="Times New Roman"/>
          <w:b/>
          <w:i/>
          <w:sz w:val="24"/>
          <w:szCs w:val="24"/>
        </w:rPr>
      </w:pPr>
    </w:p>
    <w:p w14:paraId="2657F968" w14:textId="77777777" w:rsidR="009A504C" w:rsidRPr="009A504C" w:rsidRDefault="009A504C" w:rsidP="009A504C">
      <w:pPr>
        <w:spacing w:line="240" w:lineRule="auto"/>
        <w:contextualSpacing/>
        <w:rPr>
          <w:rFonts w:ascii="Garamond" w:hAnsi="Garamond" w:cs="Times New Roman"/>
          <w:bCs/>
          <w:sz w:val="24"/>
          <w:szCs w:val="24"/>
        </w:rPr>
      </w:pPr>
      <w:r w:rsidRPr="009A504C">
        <w:rPr>
          <w:rFonts w:ascii="Garamond" w:hAnsi="Garamond" w:cs="Times New Roman"/>
          <w:bCs/>
          <w:sz w:val="24"/>
          <w:szCs w:val="24"/>
        </w:rPr>
        <w:t xml:space="preserve">Paul Pierson and Theda Skocpol, “Historical Institutionalism in Contemporary Political Science,” in </w:t>
      </w:r>
      <w:r w:rsidRPr="009A504C">
        <w:rPr>
          <w:rFonts w:ascii="Garamond" w:hAnsi="Garamond" w:cs="Times New Roman"/>
          <w:bCs/>
          <w:i/>
          <w:iCs/>
          <w:sz w:val="24"/>
          <w:szCs w:val="24"/>
        </w:rPr>
        <w:t>Political Science: The State of the Discipline</w:t>
      </w:r>
      <w:r w:rsidRPr="009A504C">
        <w:rPr>
          <w:rFonts w:ascii="Garamond" w:hAnsi="Garamond" w:cs="Times New Roman"/>
          <w:bCs/>
          <w:sz w:val="24"/>
          <w:szCs w:val="24"/>
        </w:rPr>
        <w:t>, ed. Ira Katznelson and Helen V. Milner (New York: W. W. Norton &amp; Company, 2002).</w:t>
      </w:r>
    </w:p>
    <w:p w14:paraId="2BEEFC65" w14:textId="77777777" w:rsidR="009A504C" w:rsidRPr="009A504C" w:rsidRDefault="009A504C" w:rsidP="009A504C">
      <w:pPr>
        <w:spacing w:line="240" w:lineRule="auto"/>
        <w:contextualSpacing/>
        <w:rPr>
          <w:rFonts w:ascii="Garamond" w:hAnsi="Garamond" w:cs="Times New Roman"/>
          <w:bCs/>
          <w:sz w:val="24"/>
          <w:szCs w:val="24"/>
        </w:rPr>
      </w:pPr>
    </w:p>
    <w:p w14:paraId="0A558649" w14:textId="77777777" w:rsidR="009A504C" w:rsidRPr="009A504C" w:rsidRDefault="009A504C" w:rsidP="009A504C">
      <w:pPr>
        <w:spacing w:line="240" w:lineRule="auto"/>
        <w:contextualSpacing/>
        <w:rPr>
          <w:rFonts w:ascii="Garamond" w:hAnsi="Garamond" w:cs="Times New Roman"/>
          <w:bCs/>
          <w:sz w:val="24"/>
          <w:szCs w:val="24"/>
        </w:rPr>
      </w:pPr>
      <w:r w:rsidRPr="009A504C">
        <w:rPr>
          <w:rFonts w:ascii="Garamond" w:hAnsi="Garamond" w:cs="Times New Roman"/>
          <w:bCs/>
          <w:sz w:val="24"/>
          <w:szCs w:val="24"/>
        </w:rPr>
        <w:t xml:space="preserve">Dan Slater and Erica Simmons, “Informative Regress: Critical Antecedents in Comparative Politics,” </w:t>
      </w:r>
      <w:r w:rsidRPr="009A504C">
        <w:rPr>
          <w:rFonts w:ascii="Garamond" w:hAnsi="Garamond" w:cs="Times New Roman"/>
          <w:bCs/>
          <w:i/>
          <w:iCs/>
          <w:sz w:val="24"/>
          <w:szCs w:val="24"/>
        </w:rPr>
        <w:t>Comparative Political Studies</w:t>
      </w:r>
      <w:r w:rsidRPr="009A504C">
        <w:rPr>
          <w:rFonts w:ascii="Garamond" w:hAnsi="Garamond" w:cs="Times New Roman"/>
          <w:bCs/>
          <w:sz w:val="24"/>
          <w:szCs w:val="24"/>
        </w:rPr>
        <w:t xml:space="preserve"> 43, no. 7 (January 2010): 886–917.</w:t>
      </w:r>
    </w:p>
    <w:p w14:paraId="483E40A9" w14:textId="77777777" w:rsidR="009A504C" w:rsidRDefault="009A504C" w:rsidP="009A504C">
      <w:pPr>
        <w:spacing w:line="240" w:lineRule="auto"/>
        <w:contextualSpacing/>
        <w:rPr>
          <w:rFonts w:ascii="Garamond" w:hAnsi="Garamond" w:cs="Times New Roman"/>
          <w:sz w:val="24"/>
          <w:szCs w:val="24"/>
        </w:rPr>
      </w:pPr>
    </w:p>
    <w:p w14:paraId="174363B8" w14:textId="77777777" w:rsidR="009A504C" w:rsidRPr="00D02E92" w:rsidRDefault="009A504C" w:rsidP="009A504C">
      <w:pPr>
        <w:spacing w:line="240" w:lineRule="auto"/>
        <w:contextualSpacing/>
        <w:rPr>
          <w:rFonts w:ascii="Garamond" w:hAnsi="Garamond" w:cs="Times New Roman"/>
          <w:sz w:val="24"/>
          <w:szCs w:val="24"/>
        </w:rPr>
      </w:pPr>
      <w:r w:rsidRPr="00D02E92">
        <w:rPr>
          <w:rFonts w:ascii="Garamond" w:hAnsi="Garamond" w:cs="Times New Roman"/>
          <w:sz w:val="24"/>
          <w:szCs w:val="24"/>
        </w:rPr>
        <w:t xml:space="preserve">Hillel David Soifer, “The Causal Logic of Critical Junctures,” </w:t>
      </w:r>
      <w:r w:rsidRPr="00D02E92">
        <w:rPr>
          <w:rFonts w:ascii="Garamond" w:hAnsi="Garamond" w:cs="Times New Roman"/>
          <w:i/>
          <w:iCs/>
          <w:sz w:val="24"/>
          <w:szCs w:val="24"/>
        </w:rPr>
        <w:t>Comparative Political Studies</w:t>
      </w:r>
      <w:r w:rsidRPr="00D02E92">
        <w:rPr>
          <w:rFonts w:ascii="Garamond" w:hAnsi="Garamond" w:cs="Times New Roman"/>
          <w:sz w:val="24"/>
          <w:szCs w:val="24"/>
        </w:rPr>
        <w:t xml:space="preserve"> 45, no. 12 (December 1, 2012): 1572–97.</w:t>
      </w:r>
    </w:p>
    <w:p w14:paraId="0F5558E5" w14:textId="77777777" w:rsidR="009A504C" w:rsidRDefault="009A504C" w:rsidP="009A504C">
      <w:pPr>
        <w:spacing w:line="240" w:lineRule="auto"/>
        <w:contextualSpacing/>
        <w:rPr>
          <w:rFonts w:ascii="Garamond" w:hAnsi="Garamond" w:cs="Times New Roman"/>
          <w:sz w:val="24"/>
          <w:szCs w:val="24"/>
        </w:rPr>
      </w:pPr>
    </w:p>
    <w:p w14:paraId="584014DE" w14:textId="1E45EB1F" w:rsidR="009A504C" w:rsidRDefault="009A504C" w:rsidP="009A504C">
      <w:pPr>
        <w:spacing w:line="240" w:lineRule="auto"/>
        <w:contextualSpacing/>
        <w:rPr>
          <w:rFonts w:ascii="Garamond" w:hAnsi="Garamond" w:cs="Times New Roman"/>
          <w:sz w:val="24"/>
          <w:szCs w:val="24"/>
        </w:rPr>
      </w:pPr>
      <w:r w:rsidRPr="00D40F55">
        <w:rPr>
          <w:rFonts w:ascii="Garamond" w:hAnsi="Garamond" w:cs="Times New Roman"/>
          <w:sz w:val="24"/>
          <w:szCs w:val="24"/>
        </w:rPr>
        <w:t xml:space="preserve">James Mahoney and Dietrich Rueschemeyer, “Comparative Historical Analysis: Achievements and Agendas,” in </w:t>
      </w:r>
      <w:r w:rsidRPr="00D40F55">
        <w:rPr>
          <w:rFonts w:ascii="Garamond" w:hAnsi="Garamond" w:cs="Times New Roman"/>
          <w:i/>
          <w:iCs/>
          <w:sz w:val="24"/>
          <w:szCs w:val="24"/>
        </w:rPr>
        <w:t>Comparative Historical Analysis in the Social Sciences</w:t>
      </w:r>
      <w:r w:rsidRPr="00D40F55">
        <w:rPr>
          <w:rFonts w:ascii="Garamond" w:hAnsi="Garamond" w:cs="Times New Roman"/>
          <w:sz w:val="24"/>
          <w:szCs w:val="24"/>
        </w:rPr>
        <w:t>, ed. James Mahoney and Dietrich Rueschemeyer (Cambridge: Cambridge University Press, 2003), 3–38</w:t>
      </w:r>
      <w:r w:rsidR="005D286A">
        <w:rPr>
          <w:rFonts w:ascii="Garamond" w:hAnsi="Garamond" w:cs="Times New Roman"/>
          <w:sz w:val="24"/>
          <w:szCs w:val="24"/>
        </w:rPr>
        <w:t>.</w:t>
      </w:r>
    </w:p>
    <w:p w14:paraId="2D6D7406" w14:textId="77777777" w:rsidR="009A504C" w:rsidRDefault="009A504C" w:rsidP="009A504C">
      <w:pPr>
        <w:spacing w:line="240" w:lineRule="auto"/>
        <w:contextualSpacing/>
        <w:rPr>
          <w:rFonts w:ascii="Garamond" w:hAnsi="Garamond" w:cs="Times New Roman"/>
          <w:sz w:val="24"/>
          <w:szCs w:val="24"/>
        </w:rPr>
      </w:pPr>
    </w:p>
    <w:p w14:paraId="5B08C8D2" w14:textId="6D161B1C" w:rsidR="009A504C" w:rsidRDefault="009A504C" w:rsidP="009A504C">
      <w:pPr>
        <w:spacing w:line="240" w:lineRule="auto"/>
        <w:contextualSpacing/>
        <w:rPr>
          <w:rFonts w:ascii="Garamond" w:hAnsi="Garamond" w:cs="Times New Roman"/>
          <w:sz w:val="24"/>
          <w:szCs w:val="24"/>
        </w:rPr>
      </w:pPr>
      <w:r w:rsidRPr="00146C52">
        <w:rPr>
          <w:rFonts w:ascii="Garamond" w:hAnsi="Garamond" w:cs="Times New Roman"/>
          <w:sz w:val="24"/>
          <w:szCs w:val="24"/>
        </w:rPr>
        <w:t xml:space="preserve">Paul Pierson, </w:t>
      </w:r>
      <w:r w:rsidRPr="00146C52">
        <w:rPr>
          <w:rFonts w:ascii="Garamond" w:hAnsi="Garamond" w:cs="Times New Roman"/>
          <w:i/>
          <w:iCs/>
          <w:sz w:val="24"/>
          <w:szCs w:val="24"/>
        </w:rPr>
        <w:t>Politics in Time: History, Institutions, and Social Analysis</w:t>
      </w:r>
      <w:r w:rsidRPr="00146C52">
        <w:rPr>
          <w:rFonts w:ascii="Garamond" w:hAnsi="Garamond" w:cs="Times New Roman"/>
          <w:sz w:val="24"/>
          <w:szCs w:val="24"/>
        </w:rPr>
        <w:t xml:space="preserve"> (Princeton</w:t>
      </w:r>
      <w:r w:rsidR="0006273C">
        <w:rPr>
          <w:rFonts w:ascii="Garamond" w:hAnsi="Garamond" w:cs="Times New Roman"/>
          <w:sz w:val="24"/>
          <w:szCs w:val="24"/>
        </w:rPr>
        <w:t>,</w:t>
      </w:r>
      <w:r w:rsidR="005D286A">
        <w:rPr>
          <w:rFonts w:ascii="Garamond" w:hAnsi="Garamond" w:cs="Times New Roman"/>
          <w:sz w:val="24"/>
          <w:szCs w:val="24"/>
        </w:rPr>
        <w:t xml:space="preserve"> NJ</w:t>
      </w:r>
      <w:r w:rsidRPr="00146C52">
        <w:rPr>
          <w:rFonts w:ascii="Garamond" w:hAnsi="Garamond" w:cs="Times New Roman"/>
          <w:sz w:val="24"/>
          <w:szCs w:val="24"/>
        </w:rPr>
        <w:t>: Princeton University Press, 2004).</w:t>
      </w:r>
    </w:p>
    <w:p w14:paraId="7B0CF46E" w14:textId="77777777" w:rsidR="009A504C" w:rsidRDefault="009A504C" w:rsidP="009A504C">
      <w:pPr>
        <w:spacing w:line="240" w:lineRule="auto"/>
        <w:contextualSpacing/>
        <w:rPr>
          <w:rFonts w:ascii="Garamond" w:hAnsi="Garamond" w:cs="Times New Roman"/>
          <w:sz w:val="24"/>
          <w:szCs w:val="24"/>
        </w:rPr>
      </w:pPr>
    </w:p>
    <w:p w14:paraId="3B0A1F7D" w14:textId="51AF91EE" w:rsidR="009A504C" w:rsidRPr="002C552C" w:rsidRDefault="009A504C" w:rsidP="009A504C">
      <w:pPr>
        <w:spacing w:line="240" w:lineRule="auto"/>
        <w:contextualSpacing/>
        <w:rPr>
          <w:rFonts w:ascii="Garamond" w:hAnsi="Garamond" w:cs="Times New Roman"/>
          <w:sz w:val="24"/>
          <w:szCs w:val="24"/>
        </w:rPr>
      </w:pPr>
      <w:r w:rsidRPr="002C552C">
        <w:rPr>
          <w:rFonts w:ascii="Garamond" w:hAnsi="Garamond" w:cs="Times New Roman"/>
          <w:sz w:val="24"/>
          <w:szCs w:val="24"/>
        </w:rPr>
        <w:t xml:space="preserve">Ira Katznelson, “Periodization and Preferences: Reflections on Purposive Action in Comparative Historical Social Science,” in </w:t>
      </w:r>
      <w:r w:rsidRPr="002C552C">
        <w:rPr>
          <w:rFonts w:ascii="Garamond" w:hAnsi="Garamond" w:cs="Times New Roman"/>
          <w:i/>
          <w:iCs/>
          <w:sz w:val="24"/>
          <w:szCs w:val="24"/>
        </w:rPr>
        <w:t>Comparative Historical Analysis in the Social Sciences</w:t>
      </w:r>
      <w:r w:rsidRPr="002C552C">
        <w:rPr>
          <w:rFonts w:ascii="Garamond" w:hAnsi="Garamond" w:cs="Times New Roman"/>
          <w:sz w:val="24"/>
          <w:szCs w:val="24"/>
        </w:rPr>
        <w:t>, ed. James Mahoney and Dietrich Rueschemeyer (Cambridge: Cambridge University Press, 2003), 270–302</w:t>
      </w:r>
      <w:r w:rsidR="00DE4F08">
        <w:rPr>
          <w:rFonts w:ascii="Garamond" w:hAnsi="Garamond" w:cs="Times New Roman"/>
          <w:sz w:val="24"/>
          <w:szCs w:val="24"/>
        </w:rPr>
        <w:t xml:space="preserve"> (</w:t>
      </w:r>
      <w:r w:rsidRPr="002C552C">
        <w:rPr>
          <w:rFonts w:ascii="Garamond" w:hAnsi="Garamond" w:cs="Times New Roman"/>
          <w:sz w:val="24"/>
          <w:szCs w:val="24"/>
        </w:rPr>
        <w:t>Chapter 8</w:t>
      </w:r>
      <w:r w:rsidR="00DE4F08">
        <w:rPr>
          <w:rFonts w:ascii="Garamond" w:hAnsi="Garamond" w:cs="Times New Roman"/>
          <w:sz w:val="24"/>
          <w:szCs w:val="24"/>
        </w:rPr>
        <w:t xml:space="preserve">). </w:t>
      </w:r>
    </w:p>
    <w:p w14:paraId="0E66DE3F" w14:textId="77777777" w:rsidR="009A504C" w:rsidRDefault="009A504C" w:rsidP="009A504C">
      <w:pPr>
        <w:spacing w:line="240" w:lineRule="auto"/>
        <w:contextualSpacing/>
        <w:rPr>
          <w:rFonts w:ascii="Garamond" w:hAnsi="Garamond" w:cs="Times New Roman"/>
          <w:sz w:val="24"/>
          <w:szCs w:val="24"/>
        </w:rPr>
      </w:pPr>
    </w:p>
    <w:p w14:paraId="1B68D694" w14:textId="77777777" w:rsidR="009A504C" w:rsidRDefault="009A504C" w:rsidP="009A504C">
      <w:pPr>
        <w:spacing w:line="240" w:lineRule="auto"/>
        <w:contextualSpacing/>
        <w:rPr>
          <w:rFonts w:ascii="Garamond" w:hAnsi="Garamond" w:cs="Times New Roman"/>
          <w:sz w:val="24"/>
          <w:szCs w:val="24"/>
        </w:rPr>
      </w:pPr>
      <w:r w:rsidRPr="002C552C">
        <w:rPr>
          <w:rFonts w:ascii="Garamond" w:hAnsi="Garamond" w:cs="Times New Roman"/>
          <w:sz w:val="24"/>
          <w:szCs w:val="24"/>
        </w:rPr>
        <w:lastRenderedPageBreak/>
        <w:t xml:space="preserve">Giovanni Capoccia and R. Daniel Kelemen, “The Study of Critical Junctures: Theory, Narrative, and Counterfactuals in Historical Institutionalism,” </w:t>
      </w:r>
      <w:r w:rsidRPr="002C552C">
        <w:rPr>
          <w:rFonts w:ascii="Garamond" w:hAnsi="Garamond" w:cs="Times New Roman"/>
          <w:i/>
          <w:iCs/>
          <w:sz w:val="24"/>
          <w:szCs w:val="24"/>
        </w:rPr>
        <w:t>World Politics</w:t>
      </w:r>
      <w:r w:rsidRPr="002C552C">
        <w:rPr>
          <w:rFonts w:ascii="Garamond" w:hAnsi="Garamond" w:cs="Times New Roman"/>
          <w:sz w:val="24"/>
          <w:szCs w:val="24"/>
        </w:rPr>
        <w:t xml:space="preserve"> 59, no. 3 (April 2007): 341–69.</w:t>
      </w:r>
    </w:p>
    <w:p w14:paraId="1FFCAE61" w14:textId="77777777" w:rsidR="009A504C" w:rsidRDefault="009A504C" w:rsidP="009A504C">
      <w:pPr>
        <w:spacing w:line="240" w:lineRule="auto"/>
        <w:contextualSpacing/>
        <w:rPr>
          <w:rFonts w:ascii="Garamond" w:hAnsi="Garamond" w:cs="Times New Roman"/>
          <w:sz w:val="24"/>
          <w:szCs w:val="24"/>
        </w:rPr>
      </w:pPr>
    </w:p>
    <w:p w14:paraId="3BBA8512" w14:textId="1D77E37C" w:rsidR="009A504C" w:rsidRDefault="009A504C" w:rsidP="009A504C">
      <w:pPr>
        <w:spacing w:line="240" w:lineRule="auto"/>
        <w:contextualSpacing/>
        <w:rPr>
          <w:rFonts w:ascii="Garamond" w:hAnsi="Garamond" w:cs="Times New Roman"/>
          <w:sz w:val="24"/>
          <w:szCs w:val="24"/>
        </w:rPr>
      </w:pPr>
      <w:r w:rsidRPr="002C552C">
        <w:rPr>
          <w:rFonts w:ascii="Garamond" w:hAnsi="Garamond" w:cs="Times New Roman"/>
          <w:sz w:val="24"/>
          <w:szCs w:val="24"/>
        </w:rPr>
        <w:t xml:space="preserve">James Mahoney, “Path Dependence in Historical Sociology,” </w:t>
      </w:r>
      <w:r w:rsidRPr="002C552C">
        <w:rPr>
          <w:rFonts w:ascii="Garamond" w:hAnsi="Garamond" w:cs="Times New Roman"/>
          <w:i/>
          <w:iCs/>
          <w:sz w:val="24"/>
          <w:szCs w:val="24"/>
        </w:rPr>
        <w:t>Theory and Society</w:t>
      </w:r>
      <w:r w:rsidRPr="002C552C">
        <w:rPr>
          <w:rFonts w:ascii="Garamond" w:hAnsi="Garamond" w:cs="Times New Roman"/>
          <w:sz w:val="24"/>
          <w:szCs w:val="24"/>
        </w:rPr>
        <w:t xml:space="preserve"> 29, no. 4 (August 2000): 507–48</w:t>
      </w:r>
      <w:r w:rsidR="00944523">
        <w:rPr>
          <w:rFonts w:ascii="Garamond" w:hAnsi="Garamond" w:cs="Times New Roman"/>
          <w:sz w:val="24"/>
          <w:szCs w:val="24"/>
        </w:rPr>
        <w:t xml:space="preserve">. </w:t>
      </w:r>
    </w:p>
    <w:p w14:paraId="2AF28D8F" w14:textId="362D6FB5" w:rsidR="00970A32" w:rsidRDefault="00970A32" w:rsidP="00FC4FED">
      <w:pPr>
        <w:spacing w:line="240" w:lineRule="auto"/>
        <w:contextualSpacing/>
        <w:rPr>
          <w:rFonts w:ascii="Garamond" w:hAnsi="Garamond" w:cs="Times New Roman"/>
          <w:bCs/>
          <w:iCs/>
          <w:sz w:val="24"/>
          <w:szCs w:val="24"/>
        </w:rPr>
      </w:pPr>
    </w:p>
    <w:p w14:paraId="0823348B" w14:textId="3AC19670" w:rsidR="00970A32" w:rsidRDefault="00970A32" w:rsidP="00FC4FED">
      <w:pPr>
        <w:spacing w:line="240" w:lineRule="auto"/>
        <w:contextualSpacing/>
        <w:rPr>
          <w:rFonts w:ascii="Garamond" w:hAnsi="Garamond" w:cs="Times New Roman"/>
          <w:b/>
          <w:i/>
          <w:sz w:val="24"/>
          <w:szCs w:val="24"/>
        </w:rPr>
      </w:pPr>
      <w:r>
        <w:rPr>
          <w:rFonts w:ascii="Garamond" w:hAnsi="Garamond" w:cs="Times New Roman"/>
          <w:b/>
          <w:i/>
          <w:sz w:val="24"/>
          <w:szCs w:val="24"/>
        </w:rPr>
        <w:t>Realism:</w:t>
      </w:r>
    </w:p>
    <w:p w14:paraId="2FB521F4" w14:textId="52E44A42" w:rsidR="00970A32" w:rsidRDefault="00970A32" w:rsidP="00FC4FED">
      <w:pPr>
        <w:spacing w:line="240" w:lineRule="auto"/>
        <w:contextualSpacing/>
        <w:rPr>
          <w:rFonts w:ascii="Garamond" w:hAnsi="Garamond" w:cs="Times New Roman"/>
          <w:b/>
          <w:i/>
          <w:sz w:val="24"/>
          <w:szCs w:val="24"/>
        </w:rPr>
      </w:pPr>
    </w:p>
    <w:p w14:paraId="0D1A97DB" w14:textId="1680C647"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Colin Wight, </w:t>
      </w:r>
      <w:r w:rsidRPr="00970A32">
        <w:rPr>
          <w:rFonts w:ascii="Garamond" w:hAnsi="Garamond" w:cs="Times New Roman"/>
          <w:bCs/>
          <w:i/>
          <w:iCs/>
          <w:sz w:val="24"/>
          <w:szCs w:val="24"/>
        </w:rPr>
        <w:t>Agents, Structures and International Relations: Politics as Ontology</w:t>
      </w:r>
      <w:r w:rsidRPr="00970A32">
        <w:rPr>
          <w:rFonts w:ascii="Garamond" w:hAnsi="Garamond" w:cs="Times New Roman"/>
          <w:bCs/>
          <w:iCs/>
          <w:sz w:val="24"/>
          <w:szCs w:val="24"/>
        </w:rPr>
        <w:t xml:space="preserve"> (Cambridge: Cambridge University Press, 2008).</w:t>
      </w:r>
    </w:p>
    <w:p w14:paraId="566B7451" w14:textId="77777777" w:rsidR="00970A32" w:rsidRDefault="00970A32" w:rsidP="00970A32">
      <w:pPr>
        <w:spacing w:line="240" w:lineRule="auto"/>
        <w:contextualSpacing/>
        <w:rPr>
          <w:rFonts w:ascii="Garamond" w:hAnsi="Garamond" w:cs="Times New Roman"/>
          <w:bCs/>
          <w:iCs/>
          <w:sz w:val="24"/>
          <w:szCs w:val="24"/>
        </w:rPr>
      </w:pPr>
    </w:p>
    <w:p w14:paraId="50406B46" w14:textId="25C97989"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Wesley C. Salmon, </w:t>
      </w:r>
      <w:r w:rsidRPr="00970A32">
        <w:rPr>
          <w:rFonts w:ascii="Garamond" w:hAnsi="Garamond" w:cs="Times New Roman"/>
          <w:bCs/>
          <w:i/>
          <w:iCs/>
          <w:sz w:val="24"/>
          <w:szCs w:val="24"/>
        </w:rPr>
        <w:t>Four Decades of Scientific Explanation</w:t>
      </w:r>
      <w:r w:rsidRPr="00970A32">
        <w:rPr>
          <w:rFonts w:ascii="Garamond" w:hAnsi="Garamond" w:cs="Times New Roman"/>
          <w:bCs/>
          <w:iCs/>
          <w:sz w:val="24"/>
          <w:szCs w:val="24"/>
        </w:rPr>
        <w:t xml:space="preserve"> (Minneapolis, MN: University of Pittsburgh Press, 1989).</w:t>
      </w:r>
    </w:p>
    <w:p w14:paraId="65F9E582" w14:textId="77777777" w:rsidR="00970A32" w:rsidRDefault="00970A32" w:rsidP="00970A32">
      <w:pPr>
        <w:spacing w:line="240" w:lineRule="auto"/>
        <w:contextualSpacing/>
        <w:rPr>
          <w:rFonts w:ascii="Garamond" w:hAnsi="Garamond" w:cs="Times New Roman"/>
          <w:bCs/>
          <w:iCs/>
          <w:sz w:val="24"/>
          <w:szCs w:val="24"/>
        </w:rPr>
      </w:pPr>
    </w:p>
    <w:p w14:paraId="5260378B" w14:textId="0736E0E0"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Ian Shapiro, </w:t>
      </w:r>
      <w:r w:rsidRPr="00970A32">
        <w:rPr>
          <w:rFonts w:ascii="Garamond" w:hAnsi="Garamond" w:cs="Times New Roman"/>
          <w:bCs/>
          <w:i/>
          <w:iCs/>
          <w:sz w:val="24"/>
          <w:szCs w:val="24"/>
        </w:rPr>
        <w:t>The Flight from Reality in the Human Sciences</w:t>
      </w:r>
      <w:r w:rsidRPr="00970A32">
        <w:rPr>
          <w:rFonts w:ascii="Garamond" w:hAnsi="Garamond" w:cs="Times New Roman"/>
          <w:bCs/>
          <w:iCs/>
          <w:sz w:val="24"/>
          <w:szCs w:val="24"/>
        </w:rPr>
        <w:t xml:space="preserve"> (Princeton, NJ: Princeton University Press, 2005).</w:t>
      </w:r>
    </w:p>
    <w:p w14:paraId="2F9D6A39" w14:textId="77777777" w:rsidR="00970A32" w:rsidRDefault="00970A32" w:rsidP="00970A32">
      <w:pPr>
        <w:spacing w:line="240" w:lineRule="auto"/>
        <w:contextualSpacing/>
        <w:rPr>
          <w:rFonts w:ascii="Garamond" w:hAnsi="Garamond" w:cs="Times New Roman"/>
          <w:bCs/>
          <w:iCs/>
          <w:sz w:val="24"/>
          <w:szCs w:val="24"/>
        </w:rPr>
      </w:pPr>
    </w:p>
    <w:p w14:paraId="503FA48A" w14:textId="7CDD773C"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Andrew Collier, </w:t>
      </w:r>
      <w:r w:rsidRPr="00970A32">
        <w:rPr>
          <w:rFonts w:ascii="Garamond" w:hAnsi="Garamond" w:cs="Times New Roman"/>
          <w:bCs/>
          <w:i/>
          <w:iCs/>
          <w:sz w:val="24"/>
          <w:szCs w:val="24"/>
        </w:rPr>
        <w:t>Critical Realism: An Introduction to Roy Bhaskar’s Philosophy</w:t>
      </w:r>
      <w:r w:rsidRPr="00970A32">
        <w:rPr>
          <w:rFonts w:ascii="Garamond" w:hAnsi="Garamond" w:cs="Times New Roman"/>
          <w:bCs/>
          <w:iCs/>
          <w:sz w:val="24"/>
          <w:szCs w:val="24"/>
        </w:rPr>
        <w:t xml:space="preserve"> (London: Verso, 1994).</w:t>
      </w:r>
    </w:p>
    <w:p w14:paraId="4EEF96A7" w14:textId="77777777" w:rsidR="00970A32" w:rsidRDefault="00970A32" w:rsidP="00970A32">
      <w:pPr>
        <w:spacing w:line="240" w:lineRule="auto"/>
        <w:contextualSpacing/>
        <w:rPr>
          <w:rFonts w:ascii="Garamond" w:hAnsi="Garamond" w:cs="Times New Roman"/>
          <w:bCs/>
          <w:iCs/>
          <w:sz w:val="24"/>
          <w:szCs w:val="24"/>
        </w:rPr>
      </w:pPr>
    </w:p>
    <w:p w14:paraId="34982231" w14:textId="496F8940"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Colin Wight, “A Manifesto for Scientific Realism in IR: Assuming the Can-Opener Won’t Work!,” </w:t>
      </w:r>
      <w:r w:rsidRPr="00970A32">
        <w:rPr>
          <w:rFonts w:ascii="Garamond" w:hAnsi="Garamond" w:cs="Times New Roman"/>
          <w:bCs/>
          <w:i/>
          <w:iCs/>
          <w:sz w:val="24"/>
          <w:szCs w:val="24"/>
        </w:rPr>
        <w:t>Millenium: Journal of International Studies</w:t>
      </w:r>
      <w:r w:rsidRPr="00970A32">
        <w:rPr>
          <w:rFonts w:ascii="Garamond" w:hAnsi="Garamond" w:cs="Times New Roman"/>
          <w:bCs/>
          <w:iCs/>
          <w:sz w:val="24"/>
          <w:szCs w:val="24"/>
        </w:rPr>
        <w:t xml:space="preserve"> 35, no. 2 (2007): 379–98.</w:t>
      </w:r>
    </w:p>
    <w:p w14:paraId="5BA4826B" w14:textId="77777777" w:rsidR="00970A32" w:rsidRDefault="00970A32" w:rsidP="00970A32">
      <w:pPr>
        <w:spacing w:line="240" w:lineRule="auto"/>
        <w:contextualSpacing/>
        <w:rPr>
          <w:rFonts w:ascii="Garamond" w:hAnsi="Garamond" w:cs="Times New Roman"/>
          <w:bCs/>
          <w:iCs/>
          <w:sz w:val="24"/>
          <w:szCs w:val="24"/>
        </w:rPr>
      </w:pPr>
    </w:p>
    <w:p w14:paraId="4B648665" w14:textId="3A62B54B"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Milja Kurki, “Critical Realism and Causal Analysis in International Relations,” </w:t>
      </w:r>
      <w:r w:rsidRPr="00970A32">
        <w:rPr>
          <w:rFonts w:ascii="Garamond" w:hAnsi="Garamond" w:cs="Times New Roman"/>
          <w:bCs/>
          <w:i/>
          <w:iCs/>
          <w:sz w:val="24"/>
          <w:szCs w:val="24"/>
        </w:rPr>
        <w:t>Millenium: Journal of International Studies</w:t>
      </w:r>
      <w:r w:rsidRPr="00970A32">
        <w:rPr>
          <w:rFonts w:ascii="Garamond" w:hAnsi="Garamond" w:cs="Times New Roman"/>
          <w:bCs/>
          <w:iCs/>
          <w:sz w:val="24"/>
          <w:szCs w:val="24"/>
        </w:rPr>
        <w:t xml:space="preserve"> 35, no. 2 (2007): 361–78.</w:t>
      </w:r>
    </w:p>
    <w:p w14:paraId="23A40BCF" w14:textId="77777777" w:rsidR="00970A32" w:rsidRDefault="00970A32" w:rsidP="00970A32">
      <w:pPr>
        <w:spacing w:line="240" w:lineRule="auto"/>
        <w:contextualSpacing/>
        <w:rPr>
          <w:rFonts w:ascii="Garamond" w:hAnsi="Garamond" w:cs="Times New Roman"/>
          <w:bCs/>
          <w:iCs/>
          <w:sz w:val="24"/>
          <w:szCs w:val="24"/>
        </w:rPr>
      </w:pPr>
    </w:p>
    <w:p w14:paraId="6A84AD4D" w14:textId="15265694"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Fred Chernoff, “Critical Realism, Scientific Realism, and International Relations Theory,” </w:t>
      </w:r>
      <w:r w:rsidRPr="00970A32">
        <w:rPr>
          <w:rFonts w:ascii="Garamond" w:hAnsi="Garamond" w:cs="Times New Roman"/>
          <w:bCs/>
          <w:i/>
          <w:iCs/>
          <w:sz w:val="24"/>
          <w:szCs w:val="24"/>
        </w:rPr>
        <w:t>Millenium: Journal of International Studies</w:t>
      </w:r>
      <w:r w:rsidRPr="00970A32">
        <w:rPr>
          <w:rFonts w:ascii="Garamond" w:hAnsi="Garamond" w:cs="Times New Roman"/>
          <w:bCs/>
          <w:iCs/>
          <w:sz w:val="24"/>
          <w:szCs w:val="24"/>
        </w:rPr>
        <w:t xml:space="preserve"> 35, no. 2 (n.d.): 399–407.</w:t>
      </w:r>
    </w:p>
    <w:p w14:paraId="47FE8E95" w14:textId="77777777" w:rsidR="00970A32" w:rsidRDefault="00970A32" w:rsidP="00970A32">
      <w:pPr>
        <w:spacing w:line="240" w:lineRule="auto"/>
        <w:contextualSpacing/>
        <w:rPr>
          <w:rFonts w:ascii="Garamond" w:hAnsi="Garamond" w:cs="Times New Roman"/>
          <w:bCs/>
          <w:iCs/>
          <w:sz w:val="24"/>
          <w:szCs w:val="24"/>
        </w:rPr>
      </w:pPr>
    </w:p>
    <w:p w14:paraId="7EF9504A" w14:textId="170D09D7"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Sæther Bjørnar, “Retroduction: An Alternative Research Strategy?,” </w:t>
      </w:r>
      <w:r w:rsidRPr="00970A32">
        <w:rPr>
          <w:rFonts w:ascii="Garamond" w:hAnsi="Garamond" w:cs="Times New Roman"/>
          <w:bCs/>
          <w:i/>
          <w:iCs/>
          <w:sz w:val="24"/>
          <w:szCs w:val="24"/>
        </w:rPr>
        <w:t>Business Strategy and the Environment</w:t>
      </w:r>
      <w:r w:rsidRPr="00970A32">
        <w:rPr>
          <w:rFonts w:ascii="Garamond" w:hAnsi="Garamond" w:cs="Times New Roman"/>
          <w:bCs/>
          <w:iCs/>
          <w:sz w:val="24"/>
          <w:szCs w:val="24"/>
        </w:rPr>
        <w:t xml:space="preserve"> 7 (1998): 245–49.</w:t>
      </w:r>
    </w:p>
    <w:p w14:paraId="1937FD4D" w14:textId="77777777" w:rsidR="00970A32" w:rsidRDefault="00970A32" w:rsidP="00970A32">
      <w:pPr>
        <w:spacing w:line="240" w:lineRule="auto"/>
        <w:contextualSpacing/>
        <w:rPr>
          <w:rFonts w:ascii="Garamond" w:hAnsi="Garamond" w:cs="Times New Roman"/>
          <w:bCs/>
          <w:iCs/>
          <w:sz w:val="24"/>
          <w:szCs w:val="24"/>
        </w:rPr>
      </w:pPr>
    </w:p>
    <w:p w14:paraId="3D8A279C" w14:textId="03D32E18"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Ruth Lane, “Positivism, Scientific Realism, and Political Science,” </w:t>
      </w:r>
      <w:r w:rsidRPr="00970A32">
        <w:rPr>
          <w:rFonts w:ascii="Garamond" w:hAnsi="Garamond" w:cs="Times New Roman"/>
          <w:bCs/>
          <w:i/>
          <w:iCs/>
          <w:sz w:val="24"/>
          <w:szCs w:val="24"/>
        </w:rPr>
        <w:t>Journal of Theoretical Politics</w:t>
      </w:r>
      <w:r w:rsidRPr="00970A32">
        <w:rPr>
          <w:rFonts w:ascii="Garamond" w:hAnsi="Garamond" w:cs="Times New Roman"/>
          <w:bCs/>
          <w:iCs/>
          <w:sz w:val="24"/>
          <w:szCs w:val="24"/>
        </w:rPr>
        <w:t xml:space="preserve"> 8, no. 3 (1996): 361–82.</w:t>
      </w:r>
    </w:p>
    <w:p w14:paraId="729ED11A" w14:textId="77777777" w:rsidR="00970A32" w:rsidRDefault="00970A32" w:rsidP="00970A32">
      <w:pPr>
        <w:spacing w:line="240" w:lineRule="auto"/>
        <w:contextualSpacing/>
        <w:rPr>
          <w:rFonts w:ascii="Garamond" w:hAnsi="Garamond" w:cs="Times New Roman"/>
          <w:bCs/>
          <w:iCs/>
          <w:sz w:val="24"/>
          <w:szCs w:val="24"/>
        </w:rPr>
      </w:pPr>
    </w:p>
    <w:p w14:paraId="781E67E8" w14:textId="5ED58D95"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Jonathan Joseph, “Philosophy in International Relations: A Scientific Realist Approach,” </w:t>
      </w:r>
      <w:r w:rsidRPr="00970A32">
        <w:rPr>
          <w:rFonts w:ascii="Garamond" w:hAnsi="Garamond" w:cs="Times New Roman"/>
          <w:bCs/>
          <w:i/>
          <w:iCs/>
          <w:sz w:val="24"/>
          <w:szCs w:val="24"/>
        </w:rPr>
        <w:t>Millenium: Journal of International Studies</w:t>
      </w:r>
      <w:r w:rsidRPr="00970A32">
        <w:rPr>
          <w:rFonts w:ascii="Garamond" w:hAnsi="Garamond" w:cs="Times New Roman"/>
          <w:bCs/>
          <w:iCs/>
          <w:sz w:val="24"/>
          <w:szCs w:val="24"/>
        </w:rPr>
        <w:t xml:space="preserve"> 35, no. 2 (2007): 345–59.</w:t>
      </w:r>
    </w:p>
    <w:p w14:paraId="1CCAE425" w14:textId="77777777" w:rsidR="00970A32" w:rsidRDefault="00970A32" w:rsidP="00970A32">
      <w:pPr>
        <w:spacing w:line="240" w:lineRule="auto"/>
        <w:contextualSpacing/>
        <w:rPr>
          <w:rFonts w:ascii="Garamond" w:hAnsi="Garamond" w:cs="Times New Roman"/>
          <w:bCs/>
          <w:iCs/>
          <w:sz w:val="24"/>
          <w:szCs w:val="24"/>
        </w:rPr>
      </w:pPr>
    </w:p>
    <w:p w14:paraId="41852020" w14:textId="1B0118FB"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Margaret Archer et al., eds., </w:t>
      </w:r>
      <w:r w:rsidRPr="00970A32">
        <w:rPr>
          <w:rFonts w:ascii="Garamond" w:hAnsi="Garamond" w:cs="Times New Roman"/>
          <w:bCs/>
          <w:i/>
          <w:iCs/>
          <w:sz w:val="24"/>
          <w:szCs w:val="24"/>
        </w:rPr>
        <w:t>Critical Realism: Essential Readings</w:t>
      </w:r>
      <w:r w:rsidRPr="00970A32">
        <w:rPr>
          <w:rFonts w:ascii="Garamond" w:hAnsi="Garamond" w:cs="Times New Roman"/>
          <w:bCs/>
          <w:iCs/>
          <w:sz w:val="24"/>
          <w:szCs w:val="24"/>
        </w:rPr>
        <w:t xml:space="preserve"> (London: Routledge, 1998), 189–205, 206–57, 282–96, 313–38.</w:t>
      </w:r>
    </w:p>
    <w:p w14:paraId="2A5A53E1" w14:textId="77777777" w:rsidR="00970A32" w:rsidRDefault="00970A32" w:rsidP="00970A32">
      <w:pPr>
        <w:spacing w:line="240" w:lineRule="auto"/>
        <w:contextualSpacing/>
        <w:rPr>
          <w:rFonts w:ascii="Garamond" w:hAnsi="Garamond" w:cs="Times New Roman"/>
          <w:bCs/>
          <w:iCs/>
          <w:sz w:val="24"/>
          <w:szCs w:val="24"/>
        </w:rPr>
      </w:pPr>
    </w:p>
    <w:p w14:paraId="2B2E3462" w14:textId="73636AB8"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Margaret Archer, “Introduction: Realism in the Social Sciences,” in </w:t>
      </w:r>
      <w:r w:rsidRPr="00970A32">
        <w:rPr>
          <w:rFonts w:ascii="Garamond" w:hAnsi="Garamond" w:cs="Times New Roman"/>
          <w:bCs/>
          <w:i/>
          <w:iCs/>
          <w:sz w:val="24"/>
          <w:szCs w:val="24"/>
        </w:rPr>
        <w:t>Critical Realism: Essential Readings</w:t>
      </w:r>
      <w:r w:rsidRPr="00970A32">
        <w:rPr>
          <w:rFonts w:ascii="Garamond" w:hAnsi="Garamond" w:cs="Times New Roman"/>
          <w:bCs/>
          <w:iCs/>
          <w:sz w:val="24"/>
          <w:szCs w:val="24"/>
        </w:rPr>
        <w:t>, ed. Margaret Archer et al. (London: Routledge, 1998), 189–205</w:t>
      </w:r>
      <w:r w:rsidR="001C40C9">
        <w:rPr>
          <w:rFonts w:ascii="Garamond" w:hAnsi="Garamond" w:cs="Times New Roman"/>
          <w:bCs/>
          <w:iCs/>
          <w:sz w:val="24"/>
          <w:szCs w:val="24"/>
        </w:rPr>
        <w:t xml:space="preserve"> (</w:t>
      </w:r>
      <w:r w:rsidRPr="00970A32">
        <w:rPr>
          <w:rFonts w:ascii="Garamond" w:hAnsi="Garamond" w:cs="Times New Roman"/>
          <w:bCs/>
          <w:iCs/>
          <w:sz w:val="24"/>
          <w:szCs w:val="24"/>
        </w:rPr>
        <w:t>Chapter 7</w:t>
      </w:r>
      <w:r w:rsidR="001C40C9">
        <w:rPr>
          <w:rFonts w:ascii="Garamond" w:hAnsi="Garamond" w:cs="Times New Roman"/>
          <w:bCs/>
          <w:iCs/>
          <w:sz w:val="24"/>
          <w:szCs w:val="24"/>
        </w:rPr>
        <w:t xml:space="preserve">). </w:t>
      </w:r>
    </w:p>
    <w:p w14:paraId="3C98B30F" w14:textId="77777777" w:rsidR="00970A32" w:rsidRDefault="00970A32" w:rsidP="00970A32">
      <w:pPr>
        <w:spacing w:line="240" w:lineRule="auto"/>
        <w:contextualSpacing/>
        <w:rPr>
          <w:rFonts w:ascii="Garamond" w:hAnsi="Garamond" w:cs="Times New Roman"/>
          <w:bCs/>
          <w:iCs/>
          <w:sz w:val="24"/>
          <w:szCs w:val="24"/>
        </w:rPr>
      </w:pPr>
    </w:p>
    <w:p w14:paraId="269C5564" w14:textId="4B9F6035"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Roy Bhaskar, “Societies,” in </w:t>
      </w:r>
      <w:r w:rsidRPr="00970A32">
        <w:rPr>
          <w:rFonts w:ascii="Garamond" w:hAnsi="Garamond" w:cs="Times New Roman"/>
          <w:bCs/>
          <w:i/>
          <w:iCs/>
          <w:sz w:val="24"/>
          <w:szCs w:val="24"/>
        </w:rPr>
        <w:t>Critical Realism: Essential Readings</w:t>
      </w:r>
      <w:r w:rsidRPr="00970A32">
        <w:rPr>
          <w:rFonts w:ascii="Garamond" w:hAnsi="Garamond" w:cs="Times New Roman"/>
          <w:bCs/>
          <w:iCs/>
          <w:sz w:val="24"/>
          <w:szCs w:val="24"/>
        </w:rPr>
        <w:t>, ed. Margaret Archer et al. (London: Routledge, 1998), 206–57</w:t>
      </w:r>
      <w:r w:rsidR="001C40C9">
        <w:rPr>
          <w:rFonts w:ascii="Garamond" w:hAnsi="Garamond" w:cs="Times New Roman"/>
          <w:bCs/>
          <w:iCs/>
          <w:sz w:val="24"/>
          <w:szCs w:val="24"/>
        </w:rPr>
        <w:t xml:space="preserve"> (</w:t>
      </w:r>
      <w:r w:rsidRPr="00970A32">
        <w:rPr>
          <w:rFonts w:ascii="Garamond" w:hAnsi="Garamond" w:cs="Times New Roman"/>
          <w:bCs/>
          <w:iCs/>
          <w:sz w:val="24"/>
          <w:szCs w:val="24"/>
        </w:rPr>
        <w:t>Chapter 8</w:t>
      </w:r>
      <w:r w:rsidR="001C40C9">
        <w:rPr>
          <w:rFonts w:ascii="Garamond" w:hAnsi="Garamond" w:cs="Times New Roman"/>
          <w:bCs/>
          <w:iCs/>
          <w:sz w:val="24"/>
          <w:szCs w:val="24"/>
        </w:rPr>
        <w:t xml:space="preserve">). </w:t>
      </w:r>
    </w:p>
    <w:p w14:paraId="07840905" w14:textId="77777777" w:rsidR="00970A32" w:rsidRDefault="00970A32" w:rsidP="00970A32">
      <w:pPr>
        <w:spacing w:line="240" w:lineRule="auto"/>
        <w:contextualSpacing/>
        <w:rPr>
          <w:rFonts w:ascii="Garamond" w:hAnsi="Garamond" w:cs="Times New Roman"/>
          <w:bCs/>
          <w:iCs/>
          <w:sz w:val="24"/>
          <w:szCs w:val="24"/>
        </w:rPr>
      </w:pPr>
    </w:p>
    <w:p w14:paraId="5684A33C" w14:textId="519FDE18"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William Outhwaite, “Realism and Social Science,” in </w:t>
      </w:r>
      <w:r w:rsidRPr="00970A32">
        <w:rPr>
          <w:rFonts w:ascii="Garamond" w:hAnsi="Garamond" w:cs="Times New Roman"/>
          <w:bCs/>
          <w:i/>
          <w:iCs/>
          <w:sz w:val="24"/>
          <w:szCs w:val="24"/>
        </w:rPr>
        <w:t>Critical Realism: Essential Readings</w:t>
      </w:r>
      <w:r w:rsidRPr="00970A32">
        <w:rPr>
          <w:rFonts w:ascii="Garamond" w:hAnsi="Garamond" w:cs="Times New Roman"/>
          <w:bCs/>
          <w:iCs/>
          <w:sz w:val="24"/>
          <w:szCs w:val="24"/>
        </w:rPr>
        <w:t>, ed. Margaret Archer et al. (London: Routledge, 1998), 282–96</w:t>
      </w:r>
      <w:r w:rsidR="001C40C9">
        <w:rPr>
          <w:rFonts w:ascii="Garamond" w:hAnsi="Garamond" w:cs="Times New Roman"/>
          <w:bCs/>
          <w:iCs/>
          <w:sz w:val="24"/>
          <w:szCs w:val="24"/>
        </w:rPr>
        <w:t xml:space="preserve"> (</w:t>
      </w:r>
      <w:r w:rsidRPr="00970A32">
        <w:rPr>
          <w:rFonts w:ascii="Garamond" w:hAnsi="Garamond" w:cs="Times New Roman"/>
          <w:bCs/>
          <w:iCs/>
          <w:sz w:val="24"/>
          <w:szCs w:val="24"/>
        </w:rPr>
        <w:t>Chapter 10</w:t>
      </w:r>
      <w:r w:rsidR="001C40C9">
        <w:rPr>
          <w:rFonts w:ascii="Garamond" w:hAnsi="Garamond" w:cs="Times New Roman"/>
          <w:bCs/>
          <w:iCs/>
          <w:sz w:val="24"/>
          <w:szCs w:val="24"/>
        </w:rPr>
        <w:t xml:space="preserve">). </w:t>
      </w:r>
    </w:p>
    <w:p w14:paraId="06150A28" w14:textId="77777777" w:rsidR="00970A32" w:rsidRDefault="00970A32" w:rsidP="00970A32">
      <w:pPr>
        <w:spacing w:line="240" w:lineRule="auto"/>
        <w:contextualSpacing/>
        <w:rPr>
          <w:rFonts w:ascii="Garamond" w:hAnsi="Garamond" w:cs="Times New Roman"/>
          <w:bCs/>
          <w:iCs/>
          <w:sz w:val="24"/>
          <w:szCs w:val="24"/>
        </w:rPr>
      </w:pPr>
    </w:p>
    <w:p w14:paraId="397720B2" w14:textId="0FD80A5D" w:rsidR="00970A32" w:rsidRPr="00970A32" w:rsidRDefault="00970A32" w:rsidP="00970A32">
      <w:pPr>
        <w:spacing w:line="240" w:lineRule="auto"/>
        <w:contextualSpacing/>
        <w:rPr>
          <w:rFonts w:ascii="Garamond" w:hAnsi="Garamond" w:cs="Times New Roman"/>
          <w:bCs/>
          <w:iCs/>
          <w:sz w:val="24"/>
          <w:szCs w:val="24"/>
        </w:rPr>
      </w:pPr>
      <w:r w:rsidRPr="00970A32">
        <w:rPr>
          <w:rFonts w:ascii="Garamond" w:hAnsi="Garamond" w:cs="Times New Roman"/>
          <w:bCs/>
          <w:iCs/>
          <w:sz w:val="24"/>
          <w:szCs w:val="24"/>
        </w:rPr>
        <w:t xml:space="preserve">Peter Manicas, “A Realist Social Science,” in </w:t>
      </w:r>
      <w:r w:rsidRPr="00970A32">
        <w:rPr>
          <w:rFonts w:ascii="Garamond" w:hAnsi="Garamond" w:cs="Times New Roman"/>
          <w:bCs/>
          <w:i/>
          <w:iCs/>
          <w:sz w:val="24"/>
          <w:szCs w:val="24"/>
        </w:rPr>
        <w:t>Critical Realism: Essential Readings</w:t>
      </w:r>
      <w:r w:rsidRPr="00970A32">
        <w:rPr>
          <w:rFonts w:ascii="Garamond" w:hAnsi="Garamond" w:cs="Times New Roman"/>
          <w:bCs/>
          <w:iCs/>
          <w:sz w:val="24"/>
          <w:szCs w:val="24"/>
        </w:rPr>
        <w:t>, ed. Margaret Archer et al. (London: Routledge, 1998), 313–38</w:t>
      </w:r>
      <w:r w:rsidR="001C40C9">
        <w:rPr>
          <w:rFonts w:ascii="Garamond" w:hAnsi="Garamond" w:cs="Times New Roman"/>
          <w:bCs/>
          <w:iCs/>
          <w:sz w:val="24"/>
          <w:szCs w:val="24"/>
        </w:rPr>
        <w:t xml:space="preserve"> (</w:t>
      </w:r>
      <w:r w:rsidRPr="00970A32">
        <w:rPr>
          <w:rFonts w:ascii="Garamond" w:hAnsi="Garamond" w:cs="Times New Roman"/>
          <w:bCs/>
          <w:iCs/>
          <w:sz w:val="24"/>
          <w:szCs w:val="24"/>
        </w:rPr>
        <w:t>Chapter 12</w:t>
      </w:r>
      <w:r w:rsidR="001C40C9">
        <w:rPr>
          <w:rFonts w:ascii="Garamond" w:hAnsi="Garamond" w:cs="Times New Roman"/>
          <w:bCs/>
          <w:iCs/>
          <w:sz w:val="24"/>
          <w:szCs w:val="24"/>
        </w:rPr>
        <w:t xml:space="preserve">). </w:t>
      </w:r>
    </w:p>
    <w:p w14:paraId="1B019DCC" w14:textId="77777777" w:rsidR="00970A32" w:rsidRPr="00FC4FED" w:rsidRDefault="00970A32" w:rsidP="00FC4FED">
      <w:pPr>
        <w:spacing w:line="240" w:lineRule="auto"/>
        <w:contextualSpacing/>
        <w:rPr>
          <w:rFonts w:ascii="Garamond" w:hAnsi="Garamond" w:cs="Times New Roman"/>
          <w:bCs/>
          <w:iCs/>
          <w:sz w:val="24"/>
          <w:szCs w:val="24"/>
        </w:rPr>
      </w:pPr>
    </w:p>
    <w:p w14:paraId="54B56EBB" w14:textId="74ECB064" w:rsidR="00687D03" w:rsidRDefault="006365FB" w:rsidP="001F71B5">
      <w:pPr>
        <w:spacing w:line="240" w:lineRule="auto"/>
        <w:contextualSpacing/>
        <w:rPr>
          <w:rFonts w:ascii="Garamond" w:hAnsi="Garamond" w:cs="Times New Roman"/>
          <w:b/>
          <w:i/>
          <w:sz w:val="24"/>
          <w:szCs w:val="24"/>
        </w:rPr>
      </w:pPr>
      <w:r>
        <w:rPr>
          <w:rFonts w:ascii="Garamond" w:hAnsi="Garamond" w:cs="Times New Roman"/>
          <w:b/>
          <w:i/>
          <w:sz w:val="24"/>
          <w:szCs w:val="24"/>
        </w:rPr>
        <w:t>The study of authoritarian regimes:</w:t>
      </w:r>
    </w:p>
    <w:p w14:paraId="3737D11C" w14:textId="735DDE7C" w:rsidR="006365FB" w:rsidRDefault="006365FB" w:rsidP="001F71B5">
      <w:pPr>
        <w:spacing w:line="240" w:lineRule="auto"/>
        <w:contextualSpacing/>
        <w:rPr>
          <w:rFonts w:ascii="Garamond" w:hAnsi="Garamond" w:cs="Times New Roman"/>
          <w:b/>
          <w:i/>
          <w:sz w:val="24"/>
          <w:szCs w:val="24"/>
        </w:rPr>
      </w:pPr>
    </w:p>
    <w:p w14:paraId="51555DAF" w14:textId="373F9474" w:rsidR="00B21ADC" w:rsidRDefault="00B21ADC" w:rsidP="00B21ADC">
      <w:pPr>
        <w:spacing w:line="240" w:lineRule="auto"/>
        <w:contextualSpacing/>
        <w:rPr>
          <w:rFonts w:ascii="Garamond" w:hAnsi="Garamond" w:cs="Times New Roman"/>
          <w:bCs/>
          <w:iCs/>
          <w:sz w:val="24"/>
          <w:szCs w:val="24"/>
        </w:rPr>
      </w:pPr>
      <w:r w:rsidRPr="00B21ADC">
        <w:rPr>
          <w:rFonts w:ascii="Garamond" w:hAnsi="Garamond" w:cs="Times New Roman"/>
          <w:bCs/>
          <w:iCs/>
          <w:sz w:val="24"/>
          <w:szCs w:val="24"/>
        </w:rPr>
        <w:t xml:space="preserve">Oliver Melton and Jessica Batke, “Why Do We Keep Writing About Chinese Politics As If We Know More Than We Do?,” </w:t>
      </w:r>
      <w:r w:rsidRPr="00B21ADC">
        <w:rPr>
          <w:rFonts w:ascii="Garamond" w:hAnsi="Garamond" w:cs="Times New Roman"/>
          <w:bCs/>
          <w:i/>
          <w:iCs/>
          <w:sz w:val="24"/>
          <w:szCs w:val="24"/>
        </w:rPr>
        <w:t>ChinaFile</w:t>
      </w:r>
      <w:r w:rsidRPr="00B21ADC">
        <w:rPr>
          <w:rFonts w:ascii="Garamond" w:hAnsi="Garamond" w:cs="Times New Roman"/>
          <w:bCs/>
          <w:iCs/>
          <w:sz w:val="24"/>
          <w:szCs w:val="24"/>
        </w:rPr>
        <w:t xml:space="preserve"> (blog), October 16, 2017, </w:t>
      </w:r>
      <w:hyperlink r:id="rId10" w:history="1">
        <w:r w:rsidRPr="00B21ADC">
          <w:rPr>
            <w:rStyle w:val="Hyperlink"/>
            <w:rFonts w:ascii="Garamond" w:hAnsi="Garamond" w:cs="Times New Roman"/>
            <w:bCs/>
            <w:iCs/>
            <w:sz w:val="24"/>
            <w:szCs w:val="24"/>
          </w:rPr>
          <w:t>http://www.chinafile.com/reporting-opinion/viewpoint/why-do-we-keep-writing-about-chinese-politics-if-we-know-more-we-do</w:t>
        </w:r>
      </w:hyperlink>
      <w:r w:rsidRPr="00B21ADC">
        <w:rPr>
          <w:rFonts w:ascii="Garamond" w:hAnsi="Garamond" w:cs="Times New Roman"/>
          <w:bCs/>
          <w:iCs/>
          <w:sz w:val="24"/>
          <w:szCs w:val="24"/>
        </w:rPr>
        <w:t>.</w:t>
      </w:r>
    </w:p>
    <w:p w14:paraId="1D2F02AE" w14:textId="77777777" w:rsidR="00B21ADC" w:rsidRPr="00B21ADC" w:rsidRDefault="00B21ADC" w:rsidP="00B21ADC">
      <w:pPr>
        <w:spacing w:line="240" w:lineRule="auto"/>
        <w:contextualSpacing/>
        <w:rPr>
          <w:rFonts w:ascii="Garamond" w:hAnsi="Garamond" w:cs="Times New Roman"/>
          <w:bCs/>
          <w:iCs/>
          <w:sz w:val="24"/>
          <w:szCs w:val="24"/>
        </w:rPr>
      </w:pPr>
    </w:p>
    <w:p w14:paraId="52F7F18B" w14:textId="1D015364" w:rsidR="00B21ADC" w:rsidRDefault="00B21ADC" w:rsidP="00B21ADC">
      <w:pPr>
        <w:spacing w:line="240" w:lineRule="auto"/>
        <w:contextualSpacing/>
        <w:rPr>
          <w:rFonts w:ascii="Garamond" w:hAnsi="Garamond" w:cs="Times New Roman"/>
          <w:bCs/>
          <w:iCs/>
          <w:sz w:val="24"/>
          <w:szCs w:val="24"/>
        </w:rPr>
      </w:pPr>
      <w:r w:rsidRPr="00B21ADC">
        <w:rPr>
          <w:rFonts w:ascii="Garamond" w:hAnsi="Garamond" w:cs="Times New Roman"/>
          <w:bCs/>
          <w:iCs/>
          <w:sz w:val="24"/>
          <w:szCs w:val="24"/>
        </w:rPr>
        <w:t xml:space="preserve">Alice Miller, “Valedictory: Analyzing the Chinese Leadership </w:t>
      </w:r>
      <w:r w:rsidR="001B3916">
        <w:rPr>
          <w:rFonts w:ascii="Garamond" w:hAnsi="Garamond" w:cs="Times New Roman"/>
          <w:bCs/>
          <w:iCs/>
          <w:sz w:val="24"/>
          <w:szCs w:val="24"/>
        </w:rPr>
        <w:t>i</w:t>
      </w:r>
      <w:r w:rsidRPr="00B21ADC">
        <w:rPr>
          <w:rFonts w:ascii="Garamond" w:hAnsi="Garamond" w:cs="Times New Roman"/>
          <w:bCs/>
          <w:iCs/>
          <w:sz w:val="24"/>
          <w:szCs w:val="24"/>
        </w:rPr>
        <w:t xml:space="preserve">n An Era </w:t>
      </w:r>
      <w:r w:rsidR="001B3916">
        <w:rPr>
          <w:rFonts w:ascii="Garamond" w:hAnsi="Garamond" w:cs="Times New Roman"/>
          <w:bCs/>
          <w:iCs/>
          <w:sz w:val="24"/>
          <w:szCs w:val="24"/>
        </w:rPr>
        <w:t>o</w:t>
      </w:r>
      <w:r w:rsidRPr="00B21ADC">
        <w:rPr>
          <w:rFonts w:ascii="Garamond" w:hAnsi="Garamond" w:cs="Times New Roman"/>
          <w:bCs/>
          <w:iCs/>
          <w:sz w:val="24"/>
          <w:szCs w:val="24"/>
        </w:rPr>
        <w:t xml:space="preserve">f Sex, Money, and Power,” </w:t>
      </w:r>
      <w:r w:rsidRPr="00B21ADC">
        <w:rPr>
          <w:rFonts w:ascii="Garamond" w:hAnsi="Garamond" w:cs="Times New Roman"/>
          <w:bCs/>
          <w:i/>
          <w:iCs/>
          <w:sz w:val="24"/>
          <w:szCs w:val="24"/>
        </w:rPr>
        <w:t>China Leadership Monitor</w:t>
      </w:r>
      <w:r w:rsidRPr="00B21ADC">
        <w:rPr>
          <w:rFonts w:ascii="Garamond" w:hAnsi="Garamond" w:cs="Times New Roman"/>
          <w:bCs/>
          <w:iCs/>
          <w:sz w:val="24"/>
          <w:szCs w:val="24"/>
        </w:rPr>
        <w:t xml:space="preserve"> 57 (Fall 2018).</w:t>
      </w:r>
    </w:p>
    <w:p w14:paraId="57E3BC03" w14:textId="77777777" w:rsidR="00B21ADC" w:rsidRPr="00B21ADC" w:rsidRDefault="00B21ADC" w:rsidP="00B21ADC">
      <w:pPr>
        <w:spacing w:line="240" w:lineRule="auto"/>
        <w:contextualSpacing/>
        <w:rPr>
          <w:rFonts w:ascii="Garamond" w:hAnsi="Garamond" w:cs="Times New Roman"/>
          <w:bCs/>
          <w:iCs/>
          <w:sz w:val="24"/>
          <w:szCs w:val="24"/>
        </w:rPr>
      </w:pPr>
    </w:p>
    <w:p w14:paraId="0CFA3BB7" w14:textId="77777777" w:rsidR="00B21ADC" w:rsidRPr="00B21ADC" w:rsidRDefault="00B21ADC" w:rsidP="00B21ADC">
      <w:pPr>
        <w:spacing w:line="240" w:lineRule="auto"/>
        <w:contextualSpacing/>
        <w:rPr>
          <w:rFonts w:ascii="Garamond" w:hAnsi="Garamond" w:cs="Times New Roman"/>
          <w:bCs/>
          <w:iCs/>
          <w:sz w:val="24"/>
          <w:szCs w:val="24"/>
        </w:rPr>
      </w:pPr>
      <w:r w:rsidRPr="00B21ADC">
        <w:rPr>
          <w:rFonts w:ascii="Garamond" w:hAnsi="Garamond" w:cs="Times New Roman"/>
          <w:bCs/>
          <w:iCs/>
          <w:sz w:val="24"/>
          <w:szCs w:val="24"/>
        </w:rPr>
        <w:t xml:space="preserve">Frederick C. Teiwes, “The Study of Elite Political Conflict in the PRC: Politics inside the ‘Black Box,’” in </w:t>
      </w:r>
      <w:r w:rsidRPr="00B21ADC">
        <w:rPr>
          <w:rFonts w:ascii="Garamond" w:hAnsi="Garamond" w:cs="Times New Roman"/>
          <w:bCs/>
          <w:i/>
          <w:iCs/>
          <w:sz w:val="24"/>
          <w:szCs w:val="24"/>
        </w:rPr>
        <w:t>Handbook of the Politics of China</w:t>
      </w:r>
      <w:r w:rsidRPr="00B21ADC">
        <w:rPr>
          <w:rFonts w:ascii="Garamond" w:hAnsi="Garamond" w:cs="Times New Roman"/>
          <w:bCs/>
          <w:iCs/>
          <w:sz w:val="24"/>
          <w:szCs w:val="24"/>
        </w:rPr>
        <w:t xml:space="preserve"> (Northampton: Edward Elgar Publishing Limited, 2015), 21–41.</w:t>
      </w:r>
    </w:p>
    <w:p w14:paraId="732D278A" w14:textId="77777777" w:rsidR="006365FB" w:rsidRPr="00B21ADC" w:rsidRDefault="006365FB" w:rsidP="001F71B5">
      <w:pPr>
        <w:spacing w:line="240" w:lineRule="auto"/>
        <w:contextualSpacing/>
        <w:rPr>
          <w:rFonts w:ascii="Garamond" w:hAnsi="Garamond" w:cs="Times New Roman"/>
          <w:bCs/>
          <w:iCs/>
          <w:sz w:val="24"/>
          <w:szCs w:val="24"/>
        </w:rPr>
      </w:pPr>
    </w:p>
    <w:p w14:paraId="05B7FD52" w14:textId="56E8D1EF" w:rsidR="00B21ADC" w:rsidRPr="00B21ADC" w:rsidRDefault="00B21ADC" w:rsidP="00B21ADC">
      <w:pPr>
        <w:rPr>
          <w:rFonts w:ascii="Garamond" w:hAnsi="Garamond" w:cstheme="minorHAnsi"/>
          <w:bCs/>
          <w:sz w:val="24"/>
          <w:szCs w:val="24"/>
        </w:rPr>
      </w:pPr>
      <w:r w:rsidRPr="00B21ADC">
        <w:rPr>
          <w:rFonts w:ascii="Garamond" w:hAnsi="Garamond" w:cstheme="minorHAnsi"/>
          <w:bCs/>
          <w:sz w:val="24"/>
          <w:szCs w:val="24"/>
        </w:rPr>
        <w:t xml:space="preserve">Zachary Jonathan Jacobson, “On the ‘Arcane Modern Science of Kremlinology’ or the Case of the Vanishing Birthdays,” </w:t>
      </w:r>
      <w:r w:rsidRPr="00B21ADC">
        <w:rPr>
          <w:rFonts w:ascii="Garamond" w:hAnsi="Garamond" w:cstheme="minorHAnsi"/>
          <w:bCs/>
          <w:i/>
          <w:iCs/>
          <w:sz w:val="24"/>
          <w:szCs w:val="24"/>
        </w:rPr>
        <w:t>Cold War History</w:t>
      </w:r>
      <w:r w:rsidRPr="00B21ADC">
        <w:rPr>
          <w:rFonts w:ascii="Garamond" w:hAnsi="Garamond" w:cstheme="minorHAnsi"/>
          <w:bCs/>
          <w:sz w:val="24"/>
          <w:szCs w:val="24"/>
        </w:rPr>
        <w:t xml:space="preserve"> 16, no. 2 (2016).</w:t>
      </w:r>
    </w:p>
    <w:p w14:paraId="7E7DF339" w14:textId="77777777" w:rsidR="00B21ADC" w:rsidRPr="00B21ADC" w:rsidRDefault="00B21ADC" w:rsidP="00B21ADC">
      <w:pPr>
        <w:rPr>
          <w:rFonts w:ascii="Garamond" w:hAnsi="Garamond" w:cstheme="minorHAnsi"/>
          <w:bCs/>
          <w:sz w:val="24"/>
          <w:szCs w:val="24"/>
        </w:rPr>
      </w:pPr>
      <w:r w:rsidRPr="00B21ADC">
        <w:rPr>
          <w:rFonts w:ascii="Garamond" w:hAnsi="Garamond" w:cstheme="minorHAnsi"/>
          <w:bCs/>
          <w:sz w:val="24"/>
          <w:szCs w:val="24"/>
        </w:rPr>
        <w:t xml:space="preserve">Stephen Kotkin, “The State- Is It Us? Memoirs, Archives, and Kremlinologists,” </w:t>
      </w:r>
      <w:r w:rsidRPr="00B21ADC">
        <w:rPr>
          <w:rFonts w:ascii="Garamond" w:hAnsi="Garamond" w:cstheme="minorHAnsi"/>
          <w:bCs/>
          <w:i/>
          <w:iCs/>
          <w:sz w:val="24"/>
          <w:szCs w:val="24"/>
        </w:rPr>
        <w:t>The Russian Review</w:t>
      </w:r>
      <w:r w:rsidRPr="00B21ADC">
        <w:rPr>
          <w:rFonts w:ascii="Garamond" w:hAnsi="Garamond" w:cstheme="minorHAnsi"/>
          <w:bCs/>
          <w:sz w:val="24"/>
          <w:szCs w:val="24"/>
        </w:rPr>
        <w:t xml:space="preserve"> 61, no. 1 (January 2002): 35–51.</w:t>
      </w:r>
    </w:p>
    <w:p w14:paraId="40E8DA00" w14:textId="2B58764E" w:rsidR="00B21ADC" w:rsidRPr="00B21ADC" w:rsidRDefault="00B21ADC" w:rsidP="00B21ADC">
      <w:pPr>
        <w:rPr>
          <w:rFonts w:ascii="Garamond" w:hAnsi="Garamond" w:cstheme="minorHAnsi"/>
          <w:bCs/>
          <w:sz w:val="24"/>
          <w:szCs w:val="24"/>
        </w:rPr>
      </w:pPr>
      <w:r w:rsidRPr="00B21ADC">
        <w:rPr>
          <w:rFonts w:ascii="Garamond" w:hAnsi="Garamond" w:cstheme="minorHAnsi"/>
          <w:bCs/>
          <w:sz w:val="24"/>
          <w:szCs w:val="24"/>
        </w:rPr>
        <w:t xml:space="preserve">Simon Miles, “Researching Through the Back Door: Field Notes </w:t>
      </w:r>
      <w:r w:rsidR="001B3916">
        <w:rPr>
          <w:rFonts w:ascii="Garamond" w:hAnsi="Garamond" w:cstheme="minorHAnsi"/>
          <w:bCs/>
          <w:sz w:val="24"/>
          <w:szCs w:val="24"/>
        </w:rPr>
        <w:t>f</w:t>
      </w:r>
      <w:r w:rsidRPr="00B21ADC">
        <w:rPr>
          <w:rFonts w:ascii="Garamond" w:hAnsi="Garamond" w:cstheme="minorHAnsi"/>
          <w:bCs/>
          <w:sz w:val="24"/>
          <w:szCs w:val="24"/>
        </w:rPr>
        <w:t xml:space="preserve">rom East of the Iron Curtain,” </w:t>
      </w:r>
      <w:r w:rsidRPr="00B21ADC">
        <w:rPr>
          <w:rFonts w:ascii="Garamond" w:hAnsi="Garamond" w:cstheme="minorHAnsi"/>
          <w:bCs/>
          <w:i/>
          <w:sz w:val="24"/>
          <w:szCs w:val="24"/>
        </w:rPr>
        <w:t>Passport</w:t>
      </w:r>
      <w:r w:rsidRPr="00B21ADC">
        <w:rPr>
          <w:rFonts w:ascii="Garamond" w:hAnsi="Garamond" w:cstheme="minorHAnsi"/>
          <w:bCs/>
          <w:sz w:val="24"/>
          <w:szCs w:val="24"/>
        </w:rPr>
        <w:t xml:space="preserve"> 47, no. 1 (April 2016): 39–41.</w:t>
      </w:r>
    </w:p>
    <w:p w14:paraId="18F77413" w14:textId="77777777" w:rsidR="00BE48BE" w:rsidRPr="00D763E9" w:rsidRDefault="00BE48BE" w:rsidP="00A06442">
      <w:pPr>
        <w:rPr>
          <w:rFonts w:ascii="Garamond" w:hAnsi="Garamond" w:cstheme="minorHAnsi"/>
          <w:b/>
          <w:sz w:val="24"/>
          <w:szCs w:val="24"/>
        </w:rPr>
      </w:pPr>
    </w:p>
    <w:p w14:paraId="1C048D33" w14:textId="77777777" w:rsidR="00A754F2" w:rsidRPr="00625659" w:rsidRDefault="00A754F2" w:rsidP="00A754F2">
      <w:pPr>
        <w:spacing w:line="240" w:lineRule="auto"/>
        <w:contextualSpacing/>
        <w:rPr>
          <w:rFonts w:ascii="Garamond" w:hAnsi="Garamond" w:cs="Times New Roman"/>
          <w:b/>
          <w:sz w:val="28"/>
          <w:szCs w:val="24"/>
          <w:u w:val="single"/>
        </w:rPr>
      </w:pPr>
      <w:r>
        <w:rPr>
          <w:rFonts w:ascii="Garamond" w:hAnsi="Garamond" w:cs="Times New Roman"/>
          <w:b/>
          <w:sz w:val="28"/>
          <w:szCs w:val="24"/>
          <w:u w:val="single"/>
        </w:rPr>
        <w:t>Additional Information and Policies</w:t>
      </w:r>
    </w:p>
    <w:p w14:paraId="75A9A142" w14:textId="77777777" w:rsidR="00A754F2" w:rsidRDefault="00A754F2" w:rsidP="00A754F2">
      <w:pPr>
        <w:spacing w:line="240" w:lineRule="auto"/>
        <w:contextualSpacing/>
        <w:rPr>
          <w:rFonts w:ascii="Garamond" w:hAnsi="Garamond" w:cs="Times New Roman"/>
          <w:b/>
          <w:sz w:val="24"/>
          <w:szCs w:val="24"/>
          <w:u w:val="single"/>
        </w:rPr>
      </w:pPr>
    </w:p>
    <w:p w14:paraId="079C68FA" w14:textId="77777777" w:rsidR="00A754F2" w:rsidRDefault="00A754F2" w:rsidP="00A754F2">
      <w:pPr>
        <w:spacing w:line="240" w:lineRule="auto"/>
        <w:contextualSpacing/>
        <w:rPr>
          <w:rFonts w:ascii="Garamond" w:hAnsi="Garamond" w:cs="Times New Roman"/>
          <w:i/>
          <w:sz w:val="24"/>
          <w:szCs w:val="24"/>
        </w:rPr>
      </w:pPr>
      <w:r>
        <w:rPr>
          <w:rFonts w:ascii="Garamond" w:hAnsi="Garamond" w:cs="Times New Roman"/>
          <w:i/>
          <w:sz w:val="24"/>
          <w:szCs w:val="24"/>
        </w:rPr>
        <w:t>Academic Integrity:</w:t>
      </w:r>
    </w:p>
    <w:p w14:paraId="1673E603" w14:textId="77777777" w:rsidR="00A754F2" w:rsidRDefault="00A754F2" w:rsidP="00A754F2">
      <w:pPr>
        <w:spacing w:line="240" w:lineRule="auto"/>
        <w:contextualSpacing/>
        <w:rPr>
          <w:rFonts w:ascii="Garamond" w:hAnsi="Garamond" w:cs="Times New Roman"/>
          <w:i/>
          <w:sz w:val="24"/>
          <w:szCs w:val="24"/>
        </w:rPr>
      </w:pPr>
    </w:p>
    <w:p w14:paraId="774BB47D"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All students are required to adhere to the Academic Integrity Code:</w:t>
      </w:r>
    </w:p>
    <w:p w14:paraId="2E58107A" w14:textId="77777777" w:rsidR="00A754F2" w:rsidRDefault="00A754F2" w:rsidP="00A754F2">
      <w:pPr>
        <w:spacing w:line="240" w:lineRule="auto"/>
        <w:contextualSpacing/>
        <w:rPr>
          <w:rFonts w:ascii="Garamond" w:hAnsi="Garamond" w:cs="Times New Roman"/>
          <w:sz w:val="24"/>
          <w:szCs w:val="24"/>
        </w:rPr>
      </w:pPr>
    </w:p>
    <w:p w14:paraId="037CF5E9" w14:textId="77777777" w:rsidR="00A754F2" w:rsidRDefault="00AD2BED" w:rsidP="00A754F2">
      <w:pPr>
        <w:spacing w:line="240" w:lineRule="auto"/>
        <w:contextualSpacing/>
        <w:rPr>
          <w:rFonts w:ascii="Garamond" w:hAnsi="Garamond" w:cs="Times New Roman"/>
          <w:sz w:val="24"/>
          <w:szCs w:val="24"/>
        </w:rPr>
      </w:pPr>
      <w:hyperlink r:id="rId11" w:history="1">
        <w:r w:rsidR="00A754F2" w:rsidRPr="001C5A6E">
          <w:rPr>
            <w:rStyle w:val="Hyperlink"/>
            <w:rFonts w:ascii="Garamond" w:hAnsi="Garamond" w:cs="Times New Roman"/>
            <w:sz w:val="24"/>
            <w:szCs w:val="24"/>
          </w:rPr>
          <w:t>https://www.american.edu/academics/integrity/code.cfm</w:t>
        </w:r>
      </w:hyperlink>
    </w:p>
    <w:p w14:paraId="6BF29A19" w14:textId="77777777" w:rsidR="00A754F2" w:rsidRDefault="00A754F2" w:rsidP="00A754F2">
      <w:pPr>
        <w:spacing w:line="240" w:lineRule="auto"/>
        <w:contextualSpacing/>
        <w:rPr>
          <w:rFonts w:ascii="Garamond" w:hAnsi="Garamond" w:cs="Times New Roman"/>
          <w:sz w:val="24"/>
          <w:szCs w:val="24"/>
        </w:rPr>
      </w:pPr>
    </w:p>
    <w:p w14:paraId="550EA299" w14:textId="77777777" w:rsidR="00A754F2" w:rsidRDefault="00A754F2" w:rsidP="00A754F2">
      <w:pPr>
        <w:spacing w:line="240" w:lineRule="auto"/>
        <w:contextualSpacing/>
        <w:rPr>
          <w:rFonts w:ascii="Garamond" w:hAnsi="Garamond" w:cs="Times New Roman"/>
          <w:i/>
          <w:sz w:val="24"/>
          <w:szCs w:val="24"/>
        </w:rPr>
      </w:pPr>
      <w:r>
        <w:rPr>
          <w:rFonts w:ascii="Garamond" w:hAnsi="Garamond" w:cs="Times New Roman"/>
          <w:i/>
          <w:sz w:val="24"/>
          <w:szCs w:val="24"/>
        </w:rPr>
        <w:t>Requests for Extensions or Special Accommodations</w:t>
      </w:r>
    </w:p>
    <w:p w14:paraId="2D80A89E" w14:textId="77777777" w:rsidR="00A754F2" w:rsidRDefault="00A754F2" w:rsidP="00A754F2">
      <w:pPr>
        <w:spacing w:line="240" w:lineRule="auto"/>
        <w:contextualSpacing/>
        <w:rPr>
          <w:rFonts w:ascii="Garamond" w:hAnsi="Garamond" w:cs="Times New Roman"/>
          <w:i/>
          <w:sz w:val="24"/>
          <w:szCs w:val="24"/>
        </w:rPr>
      </w:pPr>
    </w:p>
    <w:p w14:paraId="3BD1717E"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 xml:space="preserve">Students anticipating any difficulty in completing assigned work on time should consult with their professors well in advance of any course deadlines. Any student seeking exceptions to course policies or requesting special accommodations due to medical or familial issues must first consult with the Office of the Dean of Students (Butler Pavilion, Room 408; </w:t>
      </w:r>
      <w:hyperlink r:id="rId12" w:history="1">
        <w:r w:rsidRPr="001C5A6E">
          <w:rPr>
            <w:rStyle w:val="Hyperlink"/>
            <w:rFonts w:ascii="Garamond" w:hAnsi="Garamond" w:cs="Times New Roman"/>
            <w:sz w:val="24"/>
            <w:szCs w:val="24"/>
          </w:rPr>
          <w:t>www.american.edu/ocl/dos</w:t>
        </w:r>
      </w:hyperlink>
      <w:r>
        <w:rPr>
          <w:rFonts w:ascii="Garamond" w:hAnsi="Garamond" w:cs="Times New Roman"/>
          <w:sz w:val="24"/>
          <w:szCs w:val="24"/>
        </w:rPr>
        <w:t xml:space="preserve">). Should the Office of the Dean of Students determine that accommodations are appropriate, a letter will be issued from the Office of the Dean of Students to the student’s professors. Students must then follow up with their professors either in person or via email as soon as the circumstances permit in order to discuss new arrangements for required work and deadlines. Simply providing a letter from the Office of the Dean of Students does not constitute a waiver for course requirements </w:t>
      </w:r>
      <w:r>
        <w:rPr>
          <w:rFonts w:ascii="Garamond" w:hAnsi="Garamond" w:cs="Times New Roman"/>
          <w:sz w:val="24"/>
          <w:szCs w:val="24"/>
        </w:rPr>
        <w:lastRenderedPageBreak/>
        <w:t xml:space="preserve">or deadlines, nor does such a letter excuse work missed prior to the provision of documentation unless the Office of the Dean of Students specifically indicates that the accommodations are retroactive. Late penalties and other course policies will apply to any revised assignment arrangements or deadlines. </w:t>
      </w:r>
    </w:p>
    <w:p w14:paraId="6CFBBC2C" w14:textId="77777777" w:rsidR="00A754F2" w:rsidRDefault="00A754F2" w:rsidP="00A754F2">
      <w:pPr>
        <w:spacing w:line="240" w:lineRule="auto"/>
        <w:contextualSpacing/>
        <w:rPr>
          <w:rFonts w:ascii="Garamond" w:hAnsi="Garamond" w:cs="Times New Roman"/>
          <w:sz w:val="24"/>
          <w:szCs w:val="24"/>
        </w:rPr>
      </w:pPr>
    </w:p>
    <w:p w14:paraId="106ED62E" w14:textId="77777777" w:rsidR="00A754F2" w:rsidRDefault="00A754F2" w:rsidP="00A754F2">
      <w:pPr>
        <w:spacing w:line="240" w:lineRule="auto"/>
        <w:contextualSpacing/>
        <w:rPr>
          <w:rFonts w:ascii="Garamond" w:hAnsi="Garamond" w:cs="Times New Roman"/>
          <w:i/>
          <w:sz w:val="24"/>
          <w:szCs w:val="24"/>
        </w:rPr>
      </w:pPr>
      <w:r>
        <w:rPr>
          <w:rFonts w:ascii="Garamond" w:hAnsi="Garamond" w:cs="Times New Roman"/>
          <w:i/>
          <w:sz w:val="24"/>
          <w:szCs w:val="24"/>
        </w:rPr>
        <w:t>Early Warning Notices</w:t>
      </w:r>
    </w:p>
    <w:p w14:paraId="071B4F4C" w14:textId="77777777" w:rsidR="00A754F2" w:rsidRDefault="00A754F2" w:rsidP="00A754F2">
      <w:pPr>
        <w:spacing w:line="240" w:lineRule="auto"/>
        <w:contextualSpacing/>
        <w:rPr>
          <w:rFonts w:ascii="Garamond" w:hAnsi="Garamond" w:cs="Times New Roman"/>
          <w:i/>
          <w:sz w:val="24"/>
          <w:szCs w:val="24"/>
        </w:rPr>
      </w:pPr>
    </w:p>
    <w:p w14:paraId="3DBDCD02"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 xml:space="preserve">Undergraduate students may receive Early Warning Notices within the first month of classes. These notices are designed for you to contact your faculty, receive assistance, and develop strategies to improve your performance. </w:t>
      </w:r>
    </w:p>
    <w:p w14:paraId="356E9A9F" w14:textId="77777777" w:rsidR="00A754F2" w:rsidRDefault="00A754F2" w:rsidP="00A754F2">
      <w:pPr>
        <w:spacing w:line="240" w:lineRule="auto"/>
        <w:contextualSpacing/>
        <w:rPr>
          <w:rFonts w:ascii="Garamond" w:hAnsi="Garamond" w:cs="Times New Roman"/>
          <w:sz w:val="24"/>
          <w:szCs w:val="24"/>
        </w:rPr>
      </w:pPr>
    </w:p>
    <w:p w14:paraId="6F2E97E1" w14:textId="77777777" w:rsidR="00A754F2" w:rsidRDefault="00A754F2" w:rsidP="00A754F2">
      <w:pPr>
        <w:spacing w:line="240" w:lineRule="auto"/>
        <w:contextualSpacing/>
        <w:rPr>
          <w:rFonts w:ascii="Garamond" w:hAnsi="Garamond" w:cs="Times New Roman"/>
          <w:i/>
          <w:sz w:val="24"/>
          <w:szCs w:val="24"/>
        </w:rPr>
      </w:pPr>
      <w:r>
        <w:rPr>
          <w:rFonts w:ascii="Garamond" w:hAnsi="Garamond" w:cs="Times New Roman"/>
          <w:i/>
          <w:sz w:val="24"/>
          <w:szCs w:val="24"/>
        </w:rPr>
        <w:t>Emergency Preparedness</w:t>
      </w:r>
    </w:p>
    <w:p w14:paraId="698595EF" w14:textId="77777777" w:rsidR="00A754F2" w:rsidRDefault="00A754F2" w:rsidP="00A754F2">
      <w:pPr>
        <w:spacing w:line="240" w:lineRule="auto"/>
        <w:contextualSpacing/>
        <w:rPr>
          <w:rFonts w:ascii="Garamond" w:hAnsi="Garamond" w:cs="Times New Roman"/>
          <w:i/>
          <w:sz w:val="24"/>
          <w:szCs w:val="24"/>
        </w:rPr>
      </w:pPr>
    </w:p>
    <w:p w14:paraId="44D5F420" w14:textId="77777777" w:rsidR="00A754F2" w:rsidRPr="002B4CA8" w:rsidRDefault="00A754F2" w:rsidP="00A754F2">
      <w:pPr>
        <w:spacing w:line="240" w:lineRule="auto"/>
        <w:contextualSpacing/>
        <w:rPr>
          <w:rFonts w:ascii="Garamond" w:hAnsi="Garamond" w:cs="Times New Roman"/>
          <w:sz w:val="24"/>
          <w:szCs w:val="24"/>
        </w:rPr>
      </w:pPr>
      <w:r w:rsidRPr="002B4CA8">
        <w:rPr>
          <w:rFonts w:ascii="Garamond" w:hAnsi="Garamond" w:cs="Times New Roman"/>
          <w:sz w:val="24"/>
          <w:szCs w:val="24"/>
        </w:rPr>
        <w:t>In the event of a declared pandemic (influenza or other communicable disease), American University will implement a plan for meeting the needs of all members of the university community. Should the university be required to close for a period of time, we are committed to ensuring that all aspects of our educational programs will be delivered to our students. These may include altering and extending the duration of the traditional term schedule to complete essential instruction in the traditional format and/or use of distance instructional methods. Specific strategies will vary from class to class, depending on the format of the course and the timing of the emergency. Faculty will communicate class-specific information to students via AU e-mail and Blackboard, while students must inform their faculty immediately of any absence due to illness. Students are responsible for checking their AU e-mail regularly and keeping themselves informed of emergencies. In the event of a declared pandemic or other emergency, students should refer to the AU Web site (www. prepared. american.edu) and the AU information line at (202) 885-1100 for general university-wide information, as well as contact their faculty and/or respective dean’s office for course and school/ college-specific information.</w:t>
      </w:r>
    </w:p>
    <w:p w14:paraId="5F034498" w14:textId="77777777" w:rsidR="00A754F2" w:rsidRDefault="00A754F2" w:rsidP="00A754F2">
      <w:pPr>
        <w:spacing w:line="240" w:lineRule="auto"/>
        <w:contextualSpacing/>
        <w:rPr>
          <w:rFonts w:ascii="Garamond" w:hAnsi="Garamond" w:cs="Times New Roman"/>
          <w:sz w:val="24"/>
          <w:szCs w:val="24"/>
        </w:rPr>
      </w:pPr>
    </w:p>
    <w:p w14:paraId="1B6B5450" w14:textId="77777777" w:rsidR="00A754F2" w:rsidRDefault="00A754F2" w:rsidP="00A754F2">
      <w:pPr>
        <w:spacing w:line="240" w:lineRule="auto"/>
        <w:contextualSpacing/>
        <w:rPr>
          <w:rFonts w:ascii="Garamond" w:hAnsi="Garamond" w:cs="Times New Roman"/>
          <w:i/>
          <w:sz w:val="24"/>
          <w:szCs w:val="24"/>
        </w:rPr>
      </w:pPr>
      <w:r>
        <w:rPr>
          <w:rFonts w:ascii="Garamond" w:hAnsi="Garamond" w:cs="Times New Roman"/>
          <w:i/>
          <w:sz w:val="24"/>
          <w:szCs w:val="24"/>
        </w:rPr>
        <w:t xml:space="preserve">Student Support Services: </w:t>
      </w:r>
    </w:p>
    <w:p w14:paraId="7F8E3369" w14:textId="77777777" w:rsidR="00A754F2" w:rsidRDefault="00A754F2" w:rsidP="00A754F2">
      <w:pPr>
        <w:spacing w:line="240" w:lineRule="auto"/>
        <w:contextualSpacing/>
        <w:rPr>
          <w:rFonts w:ascii="Garamond" w:hAnsi="Garamond" w:cs="Times New Roman"/>
          <w:i/>
          <w:sz w:val="24"/>
          <w:szCs w:val="24"/>
        </w:rPr>
      </w:pPr>
    </w:p>
    <w:p w14:paraId="0D5745BF"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b/>
          <w:sz w:val="24"/>
          <w:szCs w:val="24"/>
        </w:rPr>
        <w:t xml:space="preserve">Academic Support Center </w:t>
      </w:r>
      <w:r>
        <w:rPr>
          <w:rFonts w:ascii="Garamond" w:hAnsi="Garamond" w:cs="Times New Roman"/>
          <w:sz w:val="24"/>
          <w:szCs w:val="24"/>
        </w:rPr>
        <w:t>(x3360, MGC 243):</w:t>
      </w:r>
    </w:p>
    <w:p w14:paraId="681B7AF0" w14:textId="77777777" w:rsidR="00A754F2" w:rsidRDefault="00A754F2" w:rsidP="00A754F2">
      <w:pPr>
        <w:spacing w:line="240" w:lineRule="auto"/>
        <w:contextualSpacing/>
        <w:rPr>
          <w:rFonts w:ascii="Garamond" w:hAnsi="Garamond" w:cs="Times New Roman"/>
          <w:sz w:val="24"/>
          <w:szCs w:val="24"/>
        </w:rPr>
      </w:pPr>
    </w:p>
    <w:p w14:paraId="01483F21"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 xml:space="preserve">Supports the academic development and educational goals of all AU students while also providing support to students with disabilities. We offer workshops on topics of interest to all students such as time management, note taking, critical thinking, memory skills, and test taking. Additional support includes free private and group tutoring in many subjects, supplemental instruction, The Math Lab and Writing Lab. </w:t>
      </w:r>
    </w:p>
    <w:p w14:paraId="4BAA84B8" w14:textId="77777777" w:rsidR="00A754F2" w:rsidRDefault="00A754F2" w:rsidP="00A754F2">
      <w:pPr>
        <w:spacing w:line="240" w:lineRule="auto"/>
        <w:contextualSpacing/>
        <w:rPr>
          <w:rFonts w:ascii="Garamond" w:hAnsi="Garamond" w:cs="Times New Roman"/>
          <w:sz w:val="24"/>
          <w:szCs w:val="24"/>
        </w:rPr>
      </w:pPr>
    </w:p>
    <w:p w14:paraId="67B2555E"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b/>
          <w:sz w:val="24"/>
          <w:szCs w:val="24"/>
        </w:rPr>
        <w:t xml:space="preserve">Writing Center </w:t>
      </w:r>
      <w:r>
        <w:rPr>
          <w:rFonts w:ascii="Garamond" w:hAnsi="Garamond" w:cs="Times New Roman"/>
          <w:sz w:val="24"/>
          <w:szCs w:val="24"/>
        </w:rPr>
        <w:t>(x2991, Bender Library, 1</w:t>
      </w:r>
      <w:r w:rsidRPr="00203A63">
        <w:rPr>
          <w:rFonts w:ascii="Garamond" w:hAnsi="Garamond" w:cs="Times New Roman"/>
          <w:sz w:val="24"/>
          <w:szCs w:val="24"/>
          <w:vertAlign w:val="superscript"/>
        </w:rPr>
        <w:t>st</w:t>
      </w:r>
      <w:r>
        <w:rPr>
          <w:rFonts w:ascii="Garamond" w:hAnsi="Garamond" w:cs="Times New Roman"/>
          <w:sz w:val="24"/>
          <w:szCs w:val="24"/>
        </w:rPr>
        <w:t xml:space="preserve"> Floor):</w:t>
      </w:r>
    </w:p>
    <w:p w14:paraId="3F81EA3D" w14:textId="77777777" w:rsidR="00A754F2" w:rsidRDefault="00A754F2" w:rsidP="00A754F2">
      <w:pPr>
        <w:spacing w:line="240" w:lineRule="auto"/>
        <w:contextualSpacing/>
        <w:rPr>
          <w:rFonts w:ascii="Garamond" w:hAnsi="Garamond" w:cs="Times New Roman"/>
          <w:sz w:val="24"/>
          <w:szCs w:val="24"/>
        </w:rPr>
      </w:pPr>
    </w:p>
    <w:p w14:paraId="7603FFFF"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 xml:space="preserve">Offers free, individual coaching sessions to all AU students. In your 45-minute session, a student writing consultant can help you address your assignments, understand the conventions of academic writing, and learn how to revise and edit your own work. </w:t>
      </w:r>
    </w:p>
    <w:p w14:paraId="1280D1AD" w14:textId="77777777" w:rsidR="00A754F2" w:rsidRDefault="00A754F2" w:rsidP="00A754F2">
      <w:pPr>
        <w:spacing w:line="240" w:lineRule="auto"/>
        <w:contextualSpacing/>
        <w:rPr>
          <w:rFonts w:ascii="Garamond" w:hAnsi="Garamond" w:cs="Times New Roman"/>
          <w:sz w:val="24"/>
          <w:szCs w:val="24"/>
        </w:rPr>
      </w:pPr>
    </w:p>
    <w:p w14:paraId="72F88D05"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b/>
          <w:sz w:val="24"/>
          <w:szCs w:val="24"/>
        </w:rPr>
        <w:t xml:space="preserve">Counseling Center </w:t>
      </w:r>
      <w:r>
        <w:rPr>
          <w:rFonts w:ascii="Garamond" w:hAnsi="Garamond" w:cs="Times New Roman"/>
          <w:sz w:val="24"/>
          <w:szCs w:val="24"/>
        </w:rPr>
        <w:t>(x3500, MGC 214):</w:t>
      </w:r>
    </w:p>
    <w:p w14:paraId="4446FB57" w14:textId="77777777" w:rsidR="00A754F2" w:rsidRDefault="00A754F2" w:rsidP="00A754F2">
      <w:pPr>
        <w:spacing w:line="240" w:lineRule="auto"/>
        <w:contextualSpacing/>
        <w:rPr>
          <w:rFonts w:ascii="Garamond" w:hAnsi="Garamond" w:cs="Times New Roman"/>
          <w:sz w:val="24"/>
          <w:szCs w:val="24"/>
        </w:rPr>
      </w:pPr>
    </w:p>
    <w:p w14:paraId="722522A0"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 xml:space="preserve">Is here to help students make the most of their university experience, both personally and academically. They offer individual and group counseling, urgent care, self-help resources, referrals </w:t>
      </w:r>
      <w:r>
        <w:rPr>
          <w:rFonts w:ascii="Garamond" w:hAnsi="Garamond" w:cs="Times New Roman"/>
          <w:sz w:val="24"/>
          <w:szCs w:val="24"/>
        </w:rPr>
        <w:lastRenderedPageBreak/>
        <w:t xml:space="preserve">to private care, as well as programming to help you gain the skills and insight needed to overcome adversity and thrive while you are in college. Contact the Counseling Center to make an appointment in person or by telephone, or visit the Counseling Center page on the AU website for additional information. </w:t>
      </w:r>
    </w:p>
    <w:p w14:paraId="15AE5528" w14:textId="77777777" w:rsidR="00A754F2" w:rsidRDefault="00A754F2" w:rsidP="00A754F2">
      <w:pPr>
        <w:spacing w:line="240" w:lineRule="auto"/>
        <w:contextualSpacing/>
        <w:rPr>
          <w:rFonts w:ascii="Garamond" w:hAnsi="Garamond" w:cs="Times New Roman"/>
          <w:sz w:val="24"/>
          <w:szCs w:val="24"/>
        </w:rPr>
      </w:pPr>
    </w:p>
    <w:p w14:paraId="5C058AEA"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b/>
          <w:sz w:val="24"/>
          <w:szCs w:val="24"/>
        </w:rPr>
        <w:t xml:space="preserve">Center for Diversity &amp; Inclusion </w:t>
      </w:r>
      <w:r>
        <w:rPr>
          <w:rFonts w:ascii="Garamond" w:hAnsi="Garamond" w:cs="Times New Roman"/>
          <w:sz w:val="24"/>
          <w:szCs w:val="24"/>
        </w:rPr>
        <w:t>(x3651, MGC 201):</w:t>
      </w:r>
    </w:p>
    <w:p w14:paraId="5BAF135D" w14:textId="77777777" w:rsidR="00A754F2" w:rsidRDefault="00A754F2" w:rsidP="00A754F2">
      <w:pPr>
        <w:spacing w:line="240" w:lineRule="auto"/>
        <w:contextualSpacing/>
        <w:rPr>
          <w:rFonts w:ascii="Garamond" w:hAnsi="Garamond" w:cs="Times New Roman"/>
          <w:sz w:val="24"/>
          <w:szCs w:val="24"/>
        </w:rPr>
      </w:pPr>
    </w:p>
    <w:p w14:paraId="6686C740"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 xml:space="preserve">Is dedicated to enhancing LGBTQ, Multicultural, First Generation, and Women’s experiences on campus and to advance AU’s commitment to respecting &amp; valuing diversity by serving as a resource and liaison to students, staff, and faculty on issues of equity through education, outreach, and advocacy. </w:t>
      </w:r>
    </w:p>
    <w:p w14:paraId="5B96D4BD" w14:textId="77777777" w:rsidR="00A754F2" w:rsidRDefault="00A754F2" w:rsidP="00A754F2">
      <w:pPr>
        <w:spacing w:line="240" w:lineRule="auto"/>
        <w:contextualSpacing/>
        <w:rPr>
          <w:rFonts w:ascii="Garamond" w:hAnsi="Garamond" w:cs="Times New Roman"/>
          <w:sz w:val="24"/>
          <w:szCs w:val="24"/>
        </w:rPr>
      </w:pPr>
    </w:p>
    <w:p w14:paraId="446C457B"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b/>
          <w:sz w:val="24"/>
          <w:szCs w:val="24"/>
        </w:rPr>
        <w:t xml:space="preserve">OASIS: The Office of Advocacy Services for Interpersonal and Sexual Violence </w:t>
      </w:r>
      <w:r>
        <w:rPr>
          <w:rFonts w:ascii="Garamond" w:hAnsi="Garamond" w:cs="Times New Roman"/>
          <w:sz w:val="24"/>
          <w:szCs w:val="24"/>
        </w:rPr>
        <w:t>(x7070):</w:t>
      </w:r>
    </w:p>
    <w:p w14:paraId="08B24BF7" w14:textId="77777777" w:rsidR="00A754F2" w:rsidRDefault="00A754F2" w:rsidP="00A754F2">
      <w:pPr>
        <w:spacing w:line="240" w:lineRule="auto"/>
        <w:contextualSpacing/>
        <w:rPr>
          <w:rFonts w:ascii="Garamond" w:hAnsi="Garamond" w:cs="Times New Roman"/>
          <w:sz w:val="24"/>
          <w:szCs w:val="24"/>
        </w:rPr>
      </w:pPr>
    </w:p>
    <w:p w14:paraId="3B18F2C3"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P</w:t>
      </w:r>
      <w:r w:rsidRPr="007C585F">
        <w:rPr>
          <w:rFonts w:ascii="Garamond" w:hAnsi="Garamond" w:cs="Times New Roman"/>
          <w:sz w:val="24"/>
          <w:szCs w:val="24"/>
        </w:rPr>
        <w:t>rovides free and confidential victim advocacy services for American University students who are impacted by all forms of sexual violence (e.g. sexual assault, rape, dating or domestic violence, sexual harassment, or stalking).</w:t>
      </w:r>
    </w:p>
    <w:p w14:paraId="4725E6E0" w14:textId="77777777" w:rsidR="00A754F2" w:rsidRDefault="00A754F2" w:rsidP="00A754F2">
      <w:pPr>
        <w:spacing w:line="240" w:lineRule="auto"/>
        <w:contextualSpacing/>
        <w:rPr>
          <w:rFonts w:ascii="Garamond" w:hAnsi="Garamond" w:cs="Times New Roman"/>
          <w:sz w:val="24"/>
          <w:szCs w:val="24"/>
        </w:rPr>
      </w:pPr>
    </w:p>
    <w:p w14:paraId="1416F685"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b/>
          <w:sz w:val="24"/>
          <w:szCs w:val="24"/>
        </w:rPr>
        <w:t xml:space="preserve">International Student &amp; Scholar Services </w:t>
      </w:r>
      <w:r>
        <w:rPr>
          <w:rFonts w:ascii="Garamond" w:hAnsi="Garamond" w:cs="Times New Roman"/>
          <w:sz w:val="24"/>
          <w:szCs w:val="24"/>
        </w:rPr>
        <w:t>(x3350, Butler Pavilion, Room 410):</w:t>
      </w:r>
    </w:p>
    <w:p w14:paraId="4FFC094F" w14:textId="77777777" w:rsidR="00A754F2" w:rsidRDefault="00A754F2" w:rsidP="00A754F2">
      <w:pPr>
        <w:spacing w:line="240" w:lineRule="auto"/>
        <w:contextualSpacing/>
        <w:rPr>
          <w:rFonts w:ascii="Garamond" w:hAnsi="Garamond" w:cs="Times New Roman"/>
          <w:sz w:val="24"/>
          <w:szCs w:val="24"/>
        </w:rPr>
      </w:pPr>
    </w:p>
    <w:p w14:paraId="12FDEFFF" w14:textId="77777777" w:rsidR="00A754F2" w:rsidRDefault="00A754F2" w:rsidP="00A754F2">
      <w:pPr>
        <w:spacing w:line="240" w:lineRule="auto"/>
        <w:contextualSpacing/>
        <w:rPr>
          <w:rFonts w:ascii="Garamond" w:hAnsi="Garamond" w:cs="Times New Roman"/>
          <w:sz w:val="24"/>
          <w:szCs w:val="24"/>
        </w:rPr>
      </w:pPr>
      <w:r>
        <w:rPr>
          <w:rFonts w:ascii="Garamond" w:hAnsi="Garamond" w:cs="Times New Roman"/>
          <w:sz w:val="24"/>
          <w:szCs w:val="24"/>
        </w:rPr>
        <w:t xml:space="preserve">Offers resources to support academic success and participation in campus life including academic counseling, support for second language learners, response to questions about visas, immigration status and employment and intercultural programs, clubs and other campus resources. </w:t>
      </w:r>
    </w:p>
    <w:p w14:paraId="32ECCA60" w14:textId="77777777" w:rsidR="00A754F2" w:rsidRDefault="00A754F2" w:rsidP="00A754F2">
      <w:pPr>
        <w:spacing w:line="240" w:lineRule="auto"/>
        <w:contextualSpacing/>
        <w:rPr>
          <w:rFonts w:ascii="Garamond" w:hAnsi="Garamond" w:cs="Times New Roman"/>
          <w:sz w:val="24"/>
          <w:szCs w:val="24"/>
        </w:rPr>
      </w:pPr>
    </w:p>
    <w:p w14:paraId="411C9C51" w14:textId="77777777" w:rsidR="00A754F2" w:rsidRDefault="00A754F2" w:rsidP="00A754F2">
      <w:pPr>
        <w:spacing w:line="240" w:lineRule="auto"/>
        <w:contextualSpacing/>
        <w:rPr>
          <w:rFonts w:ascii="Garamond" w:hAnsi="Garamond" w:cs="Times New Roman"/>
          <w:b/>
          <w:sz w:val="24"/>
          <w:szCs w:val="24"/>
        </w:rPr>
      </w:pPr>
      <w:r>
        <w:rPr>
          <w:rFonts w:ascii="Garamond" w:hAnsi="Garamond" w:cs="Times New Roman"/>
          <w:b/>
          <w:sz w:val="24"/>
          <w:szCs w:val="24"/>
        </w:rPr>
        <w:t>SIS Virtual Hub:</w:t>
      </w:r>
    </w:p>
    <w:p w14:paraId="01A5A84B" w14:textId="77777777" w:rsidR="00A754F2" w:rsidRDefault="00A754F2" w:rsidP="00A754F2">
      <w:pPr>
        <w:spacing w:line="240" w:lineRule="auto"/>
        <w:contextualSpacing/>
        <w:rPr>
          <w:rFonts w:ascii="Garamond" w:hAnsi="Garamond" w:cs="Times New Roman"/>
          <w:b/>
          <w:sz w:val="24"/>
          <w:szCs w:val="24"/>
        </w:rPr>
      </w:pPr>
    </w:p>
    <w:p w14:paraId="52D2A2C1" w14:textId="019EF7A1" w:rsidR="00A754F2" w:rsidRPr="001B3916" w:rsidRDefault="00A754F2" w:rsidP="001B3916">
      <w:pPr>
        <w:spacing w:line="240" w:lineRule="auto"/>
        <w:contextualSpacing/>
        <w:rPr>
          <w:rFonts w:ascii="Garamond" w:hAnsi="Garamond" w:cs="Times New Roman"/>
          <w:sz w:val="24"/>
          <w:szCs w:val="24"/>
        </w:rPr>
      </w:pPr>
      <w:r>
        <w:rPr>
          <w:rFonts w:ascii="Garamond" w:hAnsi="Garamond" w:cs="Times New Roman"/>
          <w:sz w:val="24"/>
          <w:szCs w:val="24"/>
        </w:rPr>
        <w:t xml:space="preserve">A full listing of resources and information for SIS Undergraduates. </w:t>
      </w:r>
    </w:p>
    <w:p w14:paraId="75BAB7A0"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Academic Integrity</w:t>
      </w:r>
    </w:p>
    <w:p w14:paraId="17237C73" w14:textId="77777777" w:rsidR="00A754F2" w:rsidRDefault="00A754F2" w:rsidP="00A754F2">
      <w:pPr>
        <w:spacing w:after="0"/>
        <w:rPr>
          <w:rFonts w:ascii="Century Gothic" w:hAnsi="Century Gothic"/>
          <w:sz w:val="20"/>
          <w:szCs w:val="20"/>
        </w:rPr>
      </w:pPr>
    </w:p>
    <w:p w14:paraId="4769FD0D" w14:textId="77777777" w:rsidR="00A754F2" w:rsidRPr="00E41963" w:rsidRDefault="00A754F2" w:rsidP="00A754F2">
      <w:pPr>
        <w:spacing w:after="0"/>
        <w:rPr>
          <w:rFonts w:ascii="Century Gothic" w:hAnsi="Century Gothic"/>
          <w:b/>
          <w:bCs/>
          <w:sz w:val="20"/>
          <w:szCs w:val="20"/>
        </w:rPr>
      </w:pPr>
      <w:r w:rsidRPr="00E41963">
        <w:rPr>
          <w:rFonts w:ascii="Century Gothic" w:hAnsi="Century Gothic"/>
          <w:b/>
          <w:bCs/>
          <w:color w:val="0070C0"/>
          <w:sz w:val="20"/>
          <w:szCs w:val="20"/>
        </w:rPr>
        <w:t>The following notice informs students about the American University Academic Integrity Code and their rights and responsibilities under it:</w:t>
      </w:r>
    </w:p>
    <w:p w14:paraId="481DBB2E" w14:textId="77777777" w:rsidR="00A754F2" w:rsidRDefault="00A754F2" w:rsidP="00A754F2">
      <w:pPr>
        <w:spacing w:after="0"/>
        <w:rPr>
          <w:rFonts w:ascii="Century Gothic" w:hAnsi="Century Gothic"/>
          <w:sz w:val="20"/>
          <w:szCs w:val="20"/>
        </w:rPr>
      </w:pPr>
    </w:p>
    <w:p w14:paraId="37A2BD49" w14:textId="77777777" w:rsidR="00A754F2" w:rsidRPr="00E41963" w:rsidRDefault="00A754F2" w:rsidP="00A754F2">
      <w:pPr>
        <w:spacing w:after="0"/>
        <w:rPr>
          <w:rFonts w:ascii="Century Gothic" w:hAnsi="Century Gothic"/>
          <w:i/>
          <w:color w:val="000000" w:themeColor="text1"/>
          <w:sz w:val="20"/>
          <w:szCs w:val="20"/>
        </w:rPr>
      </w:pPr>
      <w:r w:rsidRPr="00E41963">
        <w:rPr>
          <w:rFonts w:ascii="Century Gothic" w:hAnsi="Century Gothic"/>
          <w:i/>
          <w:color w:val="000000" w:themeColor="text1"/>
          <w:sz w:val="20"/>
          <w:szCs w:val="20"/>
        </w:rPr>
        <w:t xml:space="preserve">All students are governed by American University’s Academic Integrity Code. The Academic Integrity Code details specific violations of ethical conduct that relate to academic integrity. By </w:t>
      </w:r>
    </w:p>
    <w:p w14:paraId="794470BC" w14:textId="77777777" w:rsidR="00A754F2" w:rsidRPr="00E41963" w:rsidRDefault="00A754F2" w:rsidP="00A754F2">
      <w:pPr>
        <w:spacing w:after="0"/>
        <w:rPr>
          <w:rFonts w:ascii="Century Gothic" w:hAnsi="Century Gothic"/>
          <w:i/>
          <w:color w:val="000000" w:themeColor="text1"/>
          <w:sz w:val="20"/>
          <w:szCs w:val="20"/>
        </w:rPr>
      </w:pPr>
      <w:r w:rsidRPr="00E41963">
        <w:rPr>
          <w:rFonts w:ascii="Century Gothic" w:hAnsi="Century Gothic"/>
          <w:i/>
          <w:color w:val="000000" w:themeColor="text1"/>
          <w:sz w:val="20"/>
          <w:szCs w:val="20"/>
        </w:rPr>
        <w:t xml:space="preserve">registering, you have acknowledged your awareness of the Academic Integrity Code, and </w:t>
      </w:r>
    </w:p>
    <w:p w14:paraId="51A5C69F" w14:textId="77777777" w:rsidR="00A754F2" w:rsidRDefault="00A754F2" w:rsidP="00A754F2">
      <w:pPr>
        <w:spacing w:after="0"/>
        <w:rPr>
          <w:rFonts w:ascii="Century Gothic" w:hAnsi="Century Gothic"/>
          <w:i/>
          <w:color w:val="000000" w:themeColor="text1"/>
          <w:sz w:val="20"/>
          <w:szCs w:val="20"/>
        </w:rPr>
      </w:pPr>
      <w:r w:rsidRPr="00E41963">
        <w:rPr>
          <w:rFonts w:ascii="Century Gothic" w:hAnsi="Century Gothic"/>
          <w:i/>
          <w:color w:val="000000" w:themeColor="text1"/>
          <w:sz w:val="20"/>
          <w:szCs w:val="20"/>
        </w:rPr>
        <w:t xml:space="preserve">you are obliged to become familiar with your rights and responsibilities as defined by the code. All of your work (whether oral or written) in this class is governed by the provisions of the Academic Integrity Code. Academic violations include but are not limited to: plagiarism, inappropriate collaboration, dishonesty in examinations whether in class or take-home, dishonesty in papers, work done for one course and submitted to another, deliberate falsification of data, interference with other students’ work, and copyright violations. The adjudication process and possible penalties are listed in American University’s Academic Integrity Code booklet, which is also available on the American University website. Being a member of this academic community entitles each of us to a wide degree of freedom and the pursuit of scholarly interests; with that freedom, however, comes a responsibility to uphold the high ethical standards of scholarly conduct. </w:t>
      </w:r>
      <w:r>
        <w:rPr>
          <w:rFonts w:ascii="Century Gothic" w:hAnsi="Century Gothic"/>
          <w:i/>
          <w:color w:val="000000" w:themeColor="text1"/>
          <w:sz w:val="20"/>
          <w:szCs w:val="20"/>
        </w:rPr>
        <w:t>See the AU website for additional details:</w:t>
      </w:r>
    </w:p>
    <w:p w14:paraId="200B452C" w14:textId="6C35A4DE" w:rsidR="00A754F2" w:rsidRPr="001B3916" w:rsidRDefault="00AD2BED" w:rsidP="00A754F2">
      <w:pPr>
        <w:spacing w:after="0"/>
        <w:rPr>
          <w:rFonts w:ascii="Century Gothic" w:hAnsi="Century Gothic"/>
          <w:i/>
          <w:color w:val="00B0F0"/>
          <w:sz w:val="20"/>
          <w:szCs w:val="20"/>
        </w:rPr>
      </w:pPr>
      <w:hyperlink r:id="rId13" w:history="1">
        <w:r w:rsidR="00A754F2" w:rsidRPr="006E2B9A">
          <w:rPr>
            <w:rStyle w:val="Hyperlink"/>
            <w:rFonts w:ascii="Century Gothic" w:hAnsi="Century Gothic"/>
            <w:i/>
            <w:color w:val="00B0F0"/>
            <w:sz w:val="20"/>
            <w:szCs w:val="20"/>
          </w:rPr>
          <w:t>www.american.edu/academics/integrity</w:t>
        </w:r>
      </w:hyperlink>
    </w:p>
    <w:p w14:paraId="6B6978C8" w14:textId="77777777" w:rsidR="00A754F2" w:rsidRDefault="00A754F2" w:rsidP="00A754F2">
      <w:pPr>
        <w:spacing w:after="0"/>
        <w:rPr>
          <w:rFonts w:ascii="Century Gothic" w:hAnsi="Century Gothic" w:cs="Arial"/>
          <w:sz w:val="20"/>
          <w:szCs w:val="20"/>
        </w:rPr>
      </w:pPr>
    </w:p>
    <w:p w14:paraId="484B7BA7"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Academic Support</w:t>
      </w:r>
    </w:p>
    <w:p w14:paraId="12D39E32" w14:textId="77777777" w:rsidR="00A754F2" w:rsidRDefault="00A754F2" w:rsidP="00A754F2">
      <w:pPr>
        <w:spacing w:after="0"/>
        <w:rPr>
          <w:rFonts w:ascii="Century Gothic" w:hAnsi="Century Gothic"/>
          <w:sz w:val="20"/>
          <w:szCs w:val="20"/>
        </w:rPr>
      </w:pPr>
    </w:p>
    <w:p w14:paraId="5B68A68D" w14:textId="77777777" w:rsidR="00A754F2" w:rsidRPr="00E41963" w:rsidRDefault="00A754F2" w:rsidP="00A754F2">
      <w:pPr>
        <w:spacing w:after="0"/>
        <w:rPr>
          <w:rFonts w:ascii="Century Gothic" w:hAnsi="Century Gothic"/>
          <w:b/>
          <w:bCs/>
          <w:color w:val="0070C0"/>
          <w:sz w:val="20"/>
          <w:szCs w:val="20"/>
        </w:rPr>
      </w:pPr>
      <w:r w:rsidRPr="00E41963">
        <w:rPr>
          <w:rFonts w:ascii="Century Gothic" w:hAnsi="Century Gothic"/>
          <w:b/>
          <w:bCs/>
          <w:color w:val="0070C0"/>
          <w:sz w:val="20"/>
          <w:szCs w:val="20"/>
        </w:rPr>
        <w:t>The following notice informs students about academic support resources available through the Academic Support and Access Center:</w:t>
      </w:r>
    </w:p>
    <w:p w14:paraId="58CA4683" w14:textId="77777777" w:rsidR="00A754F2" w:rsidRDefault="00A754F2" w:rsidP="00A754F2">
      <w:pPr>
        <w:spacing w:after="0"/>
        <w:rPr>
          <w:rFonts w:ascii="Century Gothic" w:hAnsi="Century Gothic"/>
          <w:sz w:val="20"/>
          <w:szCs w:val="20"/>
        </w:rPr>
      </w:pPr>
    </w:p>
    <w:p w14:paraId="630000E1" w14:textId="77777777" w:rsidR="00A754F2" w:rsidRDefault="00A754F2" w:rsidP="00A754F2">
      <w:pPr>
        <w:spacing w:after="0"/>
        <w:rPr>
          <w:rStyle w:val="Strong"/>
          <w:b w:val="0"/>
          <w:bCs w:val="0"/>
          <w:i/>
          <w:iCs/>
          <w:sz w:val="20"/>
          <w:lang w:val="en"/>
        </w:rPr>
      </w:pPr>
      <w:r w:rsidRPr="00DA0BED">
        <w:rPr>
          <w:rStyle w:val="Strong"/>
          <w:i/>
          <w:iCs/>
          <w:sz w:val="20"/>
          <w:lang w:val="en"/>
        </w:rPr>
        <w:t xml:space="preserve">For </w:t>
      </w:r>
      <w:r>
        <w:rPr>
          <w:rStyle w:val="Strong"/>
          <w:i/>
          <w:iCs/>
          <w:sz w:val="20"/>
          <w:lang w:val="en"/>
        </w:rPr>
        <w:t>Fall</w:t>
      </w:r>
      <w:r w:rsidRPr="00DA0BED">
        <w:rPr>
          <w:rStyle w:val="Strong"/>
          <w:i/>
          <w:iCs/>
          <w:sz w:val="20"/>
          <w:lang w:val="en"/>
        </w:rPr>
        <w:t xml:space="preserve"> 2022</w:t>
      </w:r>
      <w:r>
        <w:rPr>
          <w:rStyle w:val="Strong"/>
          <w:i/>
          <w:iCs/>
          <w:sz w:val="20"/>
          <w:lang w:val="en"/>
        </w:rPr>
        <w:t xml:space="preserve">, </w:t>
      </w:r>
      <w:r w:rsidRPr="00AB1267">
        <w:rPr>
          <w:rStyle w:val="Strong"/>
          <w:i/>
          <w:iCs/>
          <w:sz w:val="20"/>
          <w:lang w:val="en"/>
        </w:rPr>
        <w:t xml:space="preserve">Academic Support and Access Center (ASAC) services will be </w:t>
      </w:r>
      <w:r>
        <w:rPr>
          <w:rStyle w:val="Strong"/>
          <w:i/>
          <w:iCs/>
          <w:sz w:val="20"/>
          <w:lang w:val="en"/>
        </w:rPr>
        <w:t>offered</w:t>
      </w:r>
      <w:r w:rsidRPr="00AB1267">
        <w:rPr>
          <w:rStyle w:val="Strong"/>
          <w:i/>
          <w:iCs/>
          <w:sz w:val="20"/>
          <w:lang w:val="en"/>
        </w:rPr>
        <w:t xml:space="preserve"> </w:t>
      </w:r>
      <w:r>
        <w:rPr>
          <w:rStyle w:val="Strong"/>
          <w:i/>
          <w:iCs/>
          <w:sz w:val="20"/>
          <w:lang w:val="en"/>
        </w:rPr>
        <w:t>virtually</w:t>
      </w:r>
      <w:r w:rsidRPr="00AB1267">
        <w:rPr>
          <w:rStyle w:val="Strong"/>
          <w:i/>
          <w:iCs/>
          <w:sz w:val="20"/>
          <w:lang w:val="en"/>
        </w:rPr>
        <w:t xml:space="preserve">. See </w:t>
      </w:r>
      <w:r w:rsidRPr="009B01D9">
        <w:rPr>
          <w:rStyle w:val="Strong"/>
          <w:i/>
          <w:iCs/>
          <w:sz w:val="20"/>
          <w:lang w:val="en"/>
        </w:rPr>
        <w:t xml:space="preserve">their website for </w:t>
      </w:r>
      <w:r w:rsidRPr="00AB1267">
        <w:rPr>
          <w:rStyle w:val="Strong"/>
          <w:i/>
          <w:iCs/>
          <w:sz w:val="20"/>
          <w:lang w:val="en"/>
        </w:rPr>
        <w:t>additional details</w:t>
      </w:r>
      <w:r>
        <w:rPr>
          <w:rStyle w:val="Strong"/>
          <w:i/>
          <w:iCs/>
          <w:sz w:val="20"/>
          <w:lang w:val="en"/>
        </w:rPr>
        <w:t>:</w:t>
      </w:r>
    </w:p>
    <w:p w14:paraId="122EAA28" w14:textId="77777777" w:rsidR="00A754F2" w:rsidRPr="006E2B9A" w:rsidRDefault="00AD2BED" w:rsidP="00A754F2">
      <w:pPr>
        <w:spacing w:after="0"/>
        <w:rPr>
          <w:rStyle w:val="Strong"/>
          <w:b w:val="0"/>
          <w:bCs w:val="0"/>
          <w:i/>
          <w:iCs/>
          <w:color w:val="00B0F0"/>
          <w:sz w:val="20"/>
          <w:lang w:val="en"/>
        </w:rPr>
      </w:pPr>
      <w:hyperlink r:id="rId14" w:history="1">
        <w:r w:rsidR="00A754F2" w:rsidRPr="006E2B9A">
          <w:rPr>
            <w:rStyle w:val="Hyperlink"/>
            <w:rFonts w:ascii="Century Gothic" w:hAnsi="Century Gothic"/>
            <w:i/>
            <w:iCs/>
            <w:color w:val="00B0F0"/>
            <w:sz w:val="20"/>
            <w:szCs w:val="20"/>
            <w:lang w:val="en"/>
          </w:rPr>
          <w:t>www.american.edu/provost/academic-access</w:t>
        </w:r>
      </w:hyperlink>
    </w:p>
    <w:p w14:paraId="23428205" w14:textId="77777777" w:rsidR="00A754F2" w:rsidRPr="00AB1267" w:rsidRDefault="00A754F2" w:rsidP="00A754F2">
      <w:pPr>
        <w:spacing w:after="0"/>
        <w:rPr>
          <w:rStyle w:val="Strong"/>
          <w:b w:val="0"/>
          <w:bCs w:val="0"/>
          <w:i/>
          <w:iCs/>
          <w:sz w:val="20"/>
          <w:lang w:val="en"/>
        </w:rPr>
      </w:pPr>
    </w:p>
    <w:p w14:paraId="4982CA37" w14:textId="77777777" w:rsidR="00A754F2" w:rsidRPr="00AB1267" w:rsidRDefault="00A754F2" w:rsidP="00A754F2">
      <w:pPr>
        <w:spacing w:after="0"/>
        <w:rPr>
          <w:rFonts w:ascii="Century Gothic" w:hAnsi="Century Gothic"/>
          <w:b/>
          <w:sz w:val="20"/>
          <w:szCs w:val="20"/>
        </w:rPr>
      </w:pPr>
      <w:r w:rsidRPr="00AB1267">
        <w:rPr>
          <w:rStyle w:val="Strong"/>
          <w:i/>
          <w:iCs/>
          <w:sz w:val="20"/>
          <w:lang w:val="en"/>
        </w:rPr>
        <w:t>All students may take advantage of the Academic Support and Access Center (ASAC)(MGC 243) for individual academic skills counseling, workshops, Tutoring, peer tutor referrals, and Supplemental Instruction. Additional academic support resources available at AU include the Bender Library, the Department of Literature's Writing Center (located in the Library), the Math Lab in the Department of Mathematics &amp; Statistics, and the Center for Language Exploration, Acquisition, &amp; Research (CLEAR) in Asbury Hall. A more complete list of campus-wide resources is available in the ASAC.</w:t>
      </w:r>
    </w:p>
    <w:p w14:paraId="0F7FA58F" w14:textId="77777777" w:rsidR="00A754F2" w:rsidRDefault="00A754F2" w:rsidP="00A754F2">
      <w:pPr>
        <w:spacing w:after="0"/>
        <w:rPr>
          <w:rFonts w:ascii="Century Gothic" w:hAnsi="Century Gothic" w:cs="Arial"/>
          <w:sz w:val="20"/>
          <w:szCs w:val="20"/>
        </w:rPr>
      </w:pPr>
    </w:p>
    <w:p w14:paraId="2EFF2456"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Academic WARNING NOTIFICATIONS</w:t>
      </w:r>
    </w:p>
    <w:p w14:paraId="0D21B25D" w14:textId="77777777" w:rsidR="00A754F2" w:rsidRDefault="00A754F2" w:rsidP="00A754F2">
      <w:pPr>
        <w:spacing w:after="0"/>
        <w:rPr>
          <w:rFonts w:ascii="Century Gothic" w:hAnsi="Century Gothic"/>
          <w:sz w:val="20"/>
          <w:szCs w:val="20"/>
        </w:rPr>
      </w:pPr>
    </w:p>
    <w:p w14:paraId="60C45953" w14:textId="77777777" w:rsidR="00A754F2" w:rsidRPr="00E41963" w:rsidRDefault="00A754F2" w:rsidP="00A754F2">
      <w:pPr>
        <w:spacing w:after="0"/>
        <w:rPr>
          <w:rFonts w:ascii="Century Gothic" w:hAnsi="Century Gothic"/>
          <w:b/>
          <w:bCs/>
          <w:color w:val="0070C0"/>
          <w:sz w:val="20"/>
          <w:szCs w:val="20"/>
        </w:rPr>
      </w:pPr>
      <w:r w:rsidRPr="00E41963">
        <w:rPr>
          <w:rFonts w:ascii="Century Gothic" w:hAnsi="Century Gothic"/>
          <w:b/>
          <w:bCs/>
          <w:color w:val="0070C0"/>
          <w:sz w:val="20"/>
          <w:szCs w:val="20"/>
        </w:rPr>
        <w:t>The following notice informs students about the potential for an instructor to warn the student and his/her academic advisor about concerns over the student’s performance or attendance in the class:</w:t>
      </w:r>
    </w:p>
    <w:p w14:paraId="67A3A030" w14:textId="77777777" w:rsidR="00A754F2" w:rsidRDefault="00A754F2" w:rsidP="00A754F2">
      <w:pPr>
        <w:spacing w:after="0"/>
        <w:rPr>
          <w:rFonts w:ascii="Century Gothic" w:hAnsi="Century Gothic" w:cs="Arial"/>
          <w:sz w:val="20"/>
          <w:szCs w:val="20"/>
        </w:rPr>
      </w:pPr>
    </w:p>
    <w:p w14:paraId="58B4C9CE" w14:textId="29A56CA4" w:rsidR="00A754F2" w:rsidRPr="001B3916" w:rsidRDefault="00A754F2" w:rsidP="00A754F2">
      <w:pPr>
        <w:rPr>
          <w:rFonts w:ascii="Century Gothic" w:hAnsi="Century Gothic" w:cs="Arial"/>
          <w:i/>
          <w:iCs/>
          <w:sz w:val="20"/>
          <w:szCs w:val="20"/>
        </w:rPr>
      </w:pPr>
      <w:r w:rsidRPr="00AB1267">
        <w:rPr>
          <w:rFonts w:ascii="Century Gothic" w:hAnsi="Century Gothic" w:cs="Arial"/>
          <w:i/>
          <w:iCs/>
          <w:sz w:val="20"/>
          <w:szCs w:val="20"/>
        </w:rPr>
        <w:t xml:space="preserve">Students may receive </w:t>
      </w:r>
      <w:r>
        <w:rPr>
          <w:rFonts w:ascii="Century Gothic" w:hAnsi="Century Gothic" w:cs="Arial"/>
          <w:i/>
          <w:iCs/>
          <w:sz w:val="20"/>
          <w:szCs w:val="20"/>
        </w:rPr>
        <w:t>Academic</w:t>
      </w:r>
      <w:r w:rsidRPr="00AB1267">
        <w:rPr>
          <w:rFonts w:ascii="Century Gothic" w:hAnsi="Century Gothic" w:cs="Arial"/>
          <w:i/>
          <w:iCs/>
          <w:sz w:val="20"/>
          <w:szCs w:val="20"/>
        </w:rPr>
        <w:t xml:space="preserve"> Warning Notices </w:t>
      </w:r>
      <w:r>
        <w:rPr>
          <w:rFonts w:ascii="Century Gothic" w:hAnsi="Century Gothic" w:cs="Arial"/>
          <w:i/>
          <w:iCs/>
          <w:sz w:val="20"/>
          <w:szCs w:val="20"/>
        </w:rPr>
        <w:t>at any point during their</w:t>
      </w:r>
      <w:r w:rsidRPr="00AB1267">
        <w:rPr>
          <w:rFonts w:ascii="Century Gothic" w:hAnsi="Century Gothic" w:cs="Arial"/>
          <w:i/>
          <w:iCs/>
          <w:sz w:val="20"/>
          <w:szCs w:val="20"/>
        </w:rPr>
        <w:t xml:space="preserve"> classes.  These notices are designed for you to contact your faculty, receive assistance, and develop strategies to improve your performance in the class.  Please note that you should seek help throughout the semester when you have questions, fail to submit an assignment, fail to attend class, or receive an unsatisfactory grade.</w:t>
      </w:r>
    </w:p>
    <w:p w14:paraId="2AAEC3F8"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Center for Diversity and Inclusion</w:t>
      </w:r>
    </w:p>
    <w:p w14:paraId="0DA0DCA9" w14:textId="77777777" w:rsidR="00A754F2" w:rsidRDefault="00A754F2" w:rsidP="00A754F2">
      <w:pPr>
        <w:spacing w:after="0"/>
        <w:rPr>
          <w:rFonts w:ascii="Century Gothic" w:hAnsi="Century Gothic"/>
          <w:sz w:val="20"/>
          <w:szCs w:val="20"/>
        </w:rPr>
      </w:pPr>
    </w:p>
    <w:p w14:paraId="6F3DF185" w14:textId="77777777" w:rsidR="00A754F2" w:rsidRPr="00E41963" w:rsidRDefault="00A754F2" w:rsidP="00A754F2">
      <w:pPr>
        <w:spacing w:after="0"/>
        <w:rPr>
          <w:rFonts w:ascii="Century Gothic" w:hAnsi="Century Gothic"/>
          <w:b/>
          <w:bCs/>
          <w:color w:val="0070C0"/>
          <w:sz w:val="20"/>
          <w:szCs w:val="20"/>
        </w:rPr>
      </w:pPr>
      <w:r w:rsidRPr="00E41963">
        <w:rPr>
          <w:rFonts w:ascii="Century Gothic" w:hAnsi="Century Gothic"/>
          <w:b/>
          <w:bCs/>
          <w:color w:val="0070C0"/>
          <w:sz w:val="20"/>
          <w:szCs w:val="20"/>
        </w:rPr>
        <w:t>The following notice informs students about resources available through the Center for Diversity and Inclusion:</w:t>
      </w:r>
    </w:p>
    <w:p w14:paraId="36676903" w14:textId="77777777" w:rsidR="00A754F2" w:rsidRDefault="00A754F2" w:rsidP="00A754F2">
      <w:pPr>
        <w:spacing w:after="0"/>
        <w:rPr>
          <w:rFonts w:ascii="Century Gothic" w:hAnsi="Century Gothic"/>
          <w:sz w:val="20"/>
          <w:szCs w:val="20"/>
        </w:rPr>
      </w:pPr>
    </w:p>
    <w:p w14:paraId="38346EEF" w14:textId="77777777" w:rsidR="00A754F2" w:rsidRDefault="00A754F2" w:rsidP="00A754F2">
      <w:pPr>
        <w:spacing w:after="0"/>
        <w:rPr>
          <w:rStyle w:val="Strong"/>
          <w:b w:val="0"/>
          <w:bCs w:val="0"/>
          <w:i/>
          <w:iCs/>
          <w:sz w:val="20"/>
          <w:lang w:val="en"/>
        </w:rPr>
      </w:pPr>
      <w:r w:rsidRPr="00DA0BED">
        <w:rPr>
          <w:rStyle w:val="Strong"/>
          <w:i/>
          <w:iCs/>
          <w:sz w:val="20"/>
          <w:lang w:val="en"/>
        </w:rPr>
        <w:t xml:space="preserve">For </w:t>
      </w:r>
      <w:r>
        <w:rPr>
          <w:rStyle w:val="Strong"/>
          <w:i/>
          <w:iCs/>
          <w:sz w:val="20"/>
          <w:lang w:val="en"/>
        </w:rPr>
        <w:t>Fall</w:t>
      </w:r>
      <w:r w:rsidRPr="00DA0BED">
        <w:rPr>
          <w:rStyle w:val="Strong"/>
          <w:i/>
          <w:iCs/>
          <w:sz w:val="20"/>
          <w:lang w:val="en"/>
        </w:rPr>
        <w:t xml:space="preserve"> 2022</w:t>
      </w:r>
      <w:r>
        <w:rPr>
          <w:rFonts w:ascii="Century Gothic" w:hAnsi="Century Gothic"/>
          <w:i/>
          <w:sz w:val="20"/>
          <w:szCs w:val="20"/>
        </w:rPr>
        <w:t xml:space="preserve">, </w:t>
      </w:r>
      <w:r w:rsidRPr="00AB1267">
        <w:rPr>
          <w:rFonts w:ascii="Century Gothic" w:hAnsi="Century Gothic"/>
          <w:i/>
          <w:sz w:val="20"/>
          <w:szCs w:val="20"/>
        </w:rPr>
        <w:t>Center for Diversity and Inclusion</w:t>
      </w:r>
      <w:r>
        <w:rPr>
          <w:rFonts w:ascii="Century Gothic" w:hAnsi="Century Gothic"/>
          <w:i/>
          <w:sz w:val="20"/>
          <w:szCs w:val="20"/>
        </w:rPr>
        <w:t xml:space="preserve"> services will be offered both virtually and in person. </w:t>
      </w:r>
      <w:r w:rsidRPr="00AB1267">
        <w:rPr>
          <w:rStyle w:val="Strong"/>
          <w:i/>
          <w:iCs/>
          <w:sz w:val="20"/>
          <w:lang w:val="en"/>
        </w:rPr>
        <w:t xml:space="preserve">See </w:t>
      </w:r>
      <w:r w:rsidRPr="009B01D9">
        <w:rPr>
          <w:rStyle w:val="Strong"/>
          <w:i/>
          <w:iCs/>
          <w:sz w:val="20"/>
          <w:lang w:val="en"/>
        </w:rPr>
        <w:t xml:space="preserve">their website for </w:t>
      </w:r>
      <w:r w:rsidRPr="00AB1267">
        <w:rPr>
          <w:rStyle w:val="Strong"/>
          <w:i/>
          <w:iCs/>
          <w:sz w:val="20"/>
          <w:lang w:val="en"/>
        </w:rPr>
        <w:t>additional details</w:t>
      </w:r>
      <w:r>
        <w:rPr>
          <w:rStyle w:val="Strong"/>
          <w:i/>
          <w:iCs/>
          <w:sz w:val="20"/>
          <w:lang w:val="en"/>
        </w:rPr>
        <w:t>:</w:t>
      </w:r>
    </w:p>
    <w:p w14:paraId="4E908E4E" w14:textId="77777777" w:rsidR="00A754F2" w:rsidRPr="008D5BA4" w:rsidRDefault="00AD2BED" w:rsidP="00A754F2">
      <w:pPr>
        <w:spacing w:after="0"/>
        <w:rPr>
          <w:rFonts w:ascii="Century Gothic" w:hAnsi="Century Gothic"/>
          <w:i/>
          <w:color w:val="00B0F0"/>
          <w:sz w:val="20"/>
          <w:szCs w:val="20"/>
        </w:rPr>
      </w:pPr>
      <w:hyperlink r:id="rId15" w:history="1">
        <w:r w:rsidR="00A754F2" w:rsidRPr="008D5BA4">
          <w:rPr>
            <w:rStyle w:val="Hyperlink"/>
            <w:rFonts w:ascii="Century Gothic" w:hAnsi="Century Gothic"/>
            <w:i/>
            <w:color w:val="00B0F0"/>
            <w:sz w:val="20"/>
            <w:szCs w:val="20"/>
          </w:rPr>
          <w:t>www.american.edu/ocl/cdi</w:t>
        </w:r>
      </w:hyperlink>
    </w:p>
    <w:p w14:paraId="1AB02B1E" w14:textId="77777777" w:rsidR="00A754F2" w:rsidRDefault="00A754F2" w:rsidP="00A754F2">
      <w:pPr>
        <w:spacing w:after="0"/>
        <w:rPr>
          <w:rFonts w:ascii="Century Gothic" w:hAnsi="Century Gothic"/>
          <w:i/>
          <w:sz w:val="20"/>
          <w:szCs w:val="20"/>
        </w:rPr>
      </w:pPr>
    </w:p>
    <w:p w14:paraId="7372DD23" w14:textId="77777777" w:rsidR="00A754F2" w:rsidRPr="00AB1267" w:rsidRDefault="00A754F2" w:rsidP="00A754F2">
      <w:pPr>
        <w:spacing w:after="0"/>
        <w:rPr>
          <w:rFonts w:ascii="Century Gothic" w:hAnsi="Century Gothic"/>
          <w:i/>
          <w:sz w:val="20"/>
          <w:szCs w:val="20"/>
        </w:rPr>
      </w:pPr>
      <w:r w:rsidRPr="00AB1267">
        <w:rPr>
          <w:rFonts w:ascii="Century Gothic" w:hAnsi="Century Gothic"/>
          <w:i/>
          <w:sz w:val="20"/>
          <w:szCs w:val="20"/>
        </w:rPr>
        <w:t>The Center for Diversity and Inclusion (x3651, MGC 201) is dedicated to enhancing LGBTQ, Multicultural, First Generation, and Women's experiences on campus and to “advance AU's commitment to respecting &amp; valuing diversity by serving as a resource and liaison to students, staff, and faculty on issues of equity through education, outreach, and advocacy.”</w:t>
      </w:r>
    </w:p>
    <w:p w14:paraId="775DC228" w14:textId="77777777" w:rsidR="00A754F2" w:rsidRPr="006A74B1" w:rsidRDefault="00A754F2" w:rsidP="00A754F2">
      <w:pPr>
        <w:spacing w:after="0"/>
        <w:rPr>
          <w:rFonts w:ascii="Century Gothic" w:hAnsi="Century Gothic"/>
          <w:iCs/>
          <w:sz w:val="20"/>
          <w:szCs w:val="20"/>
        </w:rPr>
      </w:pPr>
    </w:p>
    <w:p w14:paraId="62EE622E"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Counseling Center</w:t>
      </w:r>
    </w:p>
    <w:p w14:paraId="6E395D0B" w14:textId="77777777" w:rsidR="00A754F2" w:rsidRDefault="00A754F2" w:rsidP="00A754F2">
      <w:pPr>
        <w:spacing w:after="0"/>
        <w:rPr>
          <w:rFonts w:ascii="Century Gothic" w:hAnsi="Century Gothic"/>
          <w:sz w:val="20"/>
          <w:szCs w:val="20"/>
        </w:rPr>
      </w:pPr>
    </w:p>
    <w:p w14:paraId="29B36323" w14:textId="77777777" w:rsidR="00A754F2" w:rsidRPr="00E41963" w:rsidRDefault="00A754F2" w:rsidP="00A754F2">
      <w:pPr>
        <w:spacing w:after="0"/>
        <w:rPr>
          <w:rFonts w:ascii="Century Gothic" w:hAnsi="Century Gothic"/>
          <w:b/>
          <w:bCs/>
          <w:color w:val="0070C0"/>
          <w:sz w:val="20"/>
          <w:szCs w:val="20"/>
        </w:rPr>
      </w:pPr>
      <w:r w:rsidRPr="00E41963">
        <w:rPr>
          <w:rFonts w:ascii="Century Gothic" w:hAnsi="Century Gothic"/>
          <w:b/>
          <w:bCs/>
          <w:color w:val="0070C0"/>
          <w:sz w:val="20"/>
          <w:szCs w:val="20"/>
        </w:rPr>
        <w:t>The following notice informs students about resources available through the Counseling Center:</w:t>
      </w:r>
    </w:p>
    <w:p w14:paraId="61EEFE2B" w14:textId="77777777" w:rsidR="00A754F2" w:rsidRDefault="00A754F2" w:rsidP="00A754F2">
      <w:pPr>
        <w:spacing w:after="0"/>
        <w:rPr>
          <w:rFonts w:ascii="Century Gothic" w:hAnsi="Century Gothic"/>
          <w:sz w:val="20"/>
          <w:szCs w:val="20"/>
        </w:rPr>
      </w:pPr>
    </w:p>
    <w:p w14:paraId="2899AA43" w14:textId="77777777" w:rsidR="00A754F2" w:rsidRDefault="00A754F2" w:rsidP="00A754F2">
      <w:pPr>
        <w:spacing w:after="0"/>
        <w:rPr>
          <w:rFonts w:ascii="Century Gothic" w:hAnsi="Century Gothic"/>
          <w:i/>
          <w:sz w:val="20"/>
          <w:szCs w:val="20"/>
        </w:rPr>
      </w:pPr>
      <w:r w:rsidRPr="00DA0BED">
        <w:rPr>
          <w:rStyle w:val="Strong"/>
          <w:i/>
          <w:iCs/>
          <w:sz w:val="20"/>
          <w:lang w:val="en"/>
        </w:rPr>
        <w:lastRenderedPageBreak/>
        <w:t xml:space="preserve">For </w:t>
      </w:r>
      <w:r>
        <w:rPr>
          <w:rStyle w:val="Strong"/>
          <w:i/>
          <w:iCs/>
          <w:sz w:val="20"/>
          <w:lang w:val="en"/>
        </w:rPr>
        <w:t>Fall</w:t>
      </w:r>
      <w:r w:rsidRPr="00DA0BED">
        <w:rPr>
          <w:rStyle w:val="Strong"/>
          <w:i/>
          <w:iCs/>
          <w:sz w:val="20"/>
          <w:lang w:val="en"/>
        </w:rPr>
        <w:t xml:space="preserve"> 2022</w:t>
      </w:r>
      <w:r>
        <w:rPr>
          <w:rFonts w:ascii="Century Gothic" w:hAnsi="Century Gothic"/>
          <w:i/>
          <w:sz w:val="20"/>
          <w:szCs w:val="20"/>
        </w:rPr>
        <w:t xml:space="preserve">, </w:t>
      </w:r>
      <w:r w:rsidRPr="00AB1267">
        <w:rPr>
          <w:rFonts w:ascii="Century Gothic" w:hAnsi="Century Gothic"/>
          <w:i/>
          <w:sz w:val="20"/>
          <w:szCs w:val="20"/>
        </w:rPr>
        <w:t>Counseling Center</w:t>
      </w:r>
      <w:r>
        <w:rPr>
          <w:rFonts w:ascii="Century Gothic" w:hAnsi="Century Gothic"/>
          <w:i/>
          <w:sz w:val="20"/>
          <w:szCs w:val="20"/>
        </w:rPr>
        <w:t xml:space="preserve"> services will be offered virtually. </w:t>
      </w:r>
      <w:r w:rsidRPr="00AB1267">
        <w:rPr>
          <w:rStyle w:val="Strong"/>
          <w:i/>
          <w:iCs/>
          <w:sz w:val="20"/>
          <w:lang w:val="en"/>
        </w:rPr>
        <w:t xml:space="preserve">See </w:t>
      </w:r>
      <w:r w:rsidRPr="009B01D9">
        <w:rPr>
          <w:rStyle w:val="Strong"/>
          <w:i/>
          <w:iCs/>
          <w:sz w:val="20"/>
          <w:lang w:val="en"/>
        </w:rPr>
        <w:t xml:space="preserve">their website for </w:t>
      </w:r>
      <w:r w:rsidRPr="00AB1267">
        <w:rPr>
          <w:rStyle w:val="Strong"/>
          <w:i/>
          <w:iCs/>
          <w:sz w:val="20"/>
          <w:lang w:val="en"/>
        </w:rPr>
        <w:t>additional details</w:t>
      </w:r>
      <w:r>
        <w:rPr>
          <w:rStyle w:val="Strong"/>
          <w:i/>
          <w:iCs/>
          <w:sz w:val="20"/>
          <w:lang w:val="en"/>
        </w:rPr>
        <w:t>:</w:t>
      </w:r>
    </w:p>
    <w:p w14:paraId="2A25A2BC" w14:textId="77777777" w:rsidR="00A754F2" w:rsidRPr="009C1030" w:rsidRDefault="00AD2BED" w:rsidP="00A754F2">
      <w:pPr>
        <w:spacing w:after="0"/>
        <w:rPr>
          <w:rFonts w:ascii="Century Gothic" w:hAnsi="Century Gothic"/>
          <w:i/>
          <w:sz w:val="20"/>
          <w:szCs w:val="20"/>
        </w:rPr>
      </w:pPr>
      <w:hyperlink r:id="rId16" w:history="1">
        <w:r w:rsidR="00A754F2" w:rsidRPr="009C1030">
          <w:rPr>
            <w:rStyle w:val="Hyperlink"/>
            <w:rFonts w:ascii="Century Gothic" w:hAnsi="Century Gothic"/>
            <w:i/>
            <w:color w:val="00B0F0"/>
            <w:sz w:val="20"/>
            <w:szCs w:val="20"/>
          </w:rPr>
          <w:t>www.american.edu/ocl/counseling</w:t>
        </w:r>
      </w:hyperlink>
    </w:p>
    <w:p w14:paraId="00E0CA56" w14:textId="77777777" w:rsidR="00A754F2" w:rsidRDefault="00A754F2" w:rsidP="00A754F2">
      <w:pPr>
        <w:spacing w:after="0"/>
        <w:rPr>
          <w:rFonts w:ascii="Century Gothic" w:hAnsi="Century Gothic"/>
          <w:i/>
          <w:sz w:val="20"/>
          <w:szCs w:val="20"/>
        </w:rPr>
      </w:pPr>
    </w:p>
    <w:p w14:paraId="4ABEF605" w14:textId="77777777" w:rsidR="00A754F2" w:rsidRDefault="00A754F2" w:rsidP="00A754F2">
      <w:pPr>
        <w:spacing w:after="0"/>
        <w:rPr>
          <w:rFonts w:ascii="Century Gothic" w:hAnsi="Century Gothic"/>
          <w:i/>
          <w:sz w:val="20"/>
          <w:szCs w:val="20"/>
        </w:rPr>
      </w:pPr>
      <w:r>
        <w:rPr>
          <w:rFonts w:ascii="Century Gothic" w:hAnsi="Century Gothic"/>
          <w:i/>
          <w:sz w:val="20"/>
          <w:szCs w:val="20"/>
        </w:rPr>
        <w:t xml:space="preserve">Please also see the Center’s </w:t>
      </w:r>
      <w:r w:rsidRPr="00B00173">
        <w:rPr>
          <w:rFonts w:ascii="Century Gothic" w:hAnsi="Century Gothic"/>
          <w:i/>
          <w:sz w:val="20"/>
          <w:szCs w:val="20"/>
        </w:rPr>
        <w:t>COVID-19 Resources for Mental Health</w:t>
      </w:r>
      <w:r>
        <w:rPr>
          <w:rFonts w:ascii="Century Gothic" w:hAnsi="Century Gothic"/>
          <w:i/>
          <w:sz w:val="20"/>
          <w:szCs w:val="20"/>
        </w:rPr>
        <w:t xml:space="preserve"> for assistance during these uniquely challenging times:</w:t>
      </w:r>
    </w:p>
    <w:p w14:paraId="1AF1012D" w14:textId="77777777" w:rsidR="00A754F2" w:rsidRPr="00B00173" w:rsidRDefault="00AD2BED" w:rsidP="00A754F2">
      <w:pPr>
        <w:spacing w:after="0"/>
        <w:rPr>
          <w:rFonts w:ascii="Century Gothic" w:hAnsi="Century Gothic"/>
          <w:i/>
          <w:color w:val="00B0F0"/>
          <w:sz w:val="20"/>
          <w:szCs w:val="20"/>
        </w:rPr>
      </w:pPr>
      <w:hyperlink r:id="rId17" w:history="1">
        <w:r w:rsidR="00A754F2" w:rsidRPr="00B00173">
          <w:rPr>
            <w:rStyle w:val="Hyperlink"/>
            <w:rFonts w:ascii="Century Gothic" w:hAnsi="Century Gothic"/>
            <w:i/>
            <w:color w:val="00B0F0"/>
            <w:sz w:val="20"/>
            <w:szCs w:val="20"/>
          </w:rPr>
          <w:t>www.american.edu/ocl/counseling/covid-resources.cfm</w:t>
        </w:r>
      </w:hyperlink>
    </w:p>
    <w:p w14:paraId="2AC6D4BF" w14:textId="77777777" w:rsidR="00A754F2" w:rsidRDefault="00A754F2" w:rsidP="00A754F2">
      <w:pPr>
        <w:spacing w:after="0"/>
        <w:rPr>
          <w:rFonts w:ascii="Century Gothic" w:hAnsi="Century Gothic"/>
          <w:i/>
          <w:sz w:val="20"/>
          <w:szCs w:val="20"/>
        </w:rPr>
      </w:pPr>
    </w:p>
    <w:p w14:paraId="5E19DDBD" w14:textId="17EC1F5C" w:rsidR="00A754F2" w:rsidRPr="001B3916" w:rsidRDefault="00A754F2" w:rsidP="00A754F2">
      <w:pPr>
        <w:spacing w:after="0"/>
        <w:rPr>
          <w:rFonts w:ascii="Century Gothic" w:hAnsi="Century Gothic"/>
          <w:i/>
          <w:sz w:val="20"/>
          <w:szCs w:val="20"/>
        </w:rPr>
      </w:pPr>
      <w:r w:rsidRPr="00AB1267">
        <w:rPr>
          <w:rFonts w:ascii="Century Gothic" w:hAnsi="Century Gothic"/>
          <w:i/>
          <w:sz w:val="20"/>
          <w:szCs w:val="20"/>
        </w:rPr>
        <w:t>The Counseling Center (x3500, MGC 214) offers intake and urgent care services, counseling and consultations regarding personal concerns, self-help information, and connections to off-campus mental health resources.</w:t>
      </w:r>
    </w:p>
    <w:p w14:paraId="215C841D"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Emergency Preparedness for Disruption of Classes</w:t>
      </w:r>
    </w:p>
    <w:p w14:paraId="754507F3" w14:textId="77777777" w:rsidR="00A754F2" w:rsidRDefault="00A754F2" w:rsidP="00A754F2">
      <w:pPr>
        <w:spacing w:after="0"/>
        <w:rPr>
          <w:rFonts w:ascii="Century Gothic" w:hAnsi="Century Gothic"/>
          <w:sz w:val="20"/>
          <w:szCs w:val="20"/>
        </w:rPr>
      </w:pPr>
    </w:p>
    <w:p w14:paraId="744EF70D" w14:textId="77777777" w:rsidR="00A754F2" w:rsidRPr="00E41963" w:rsidRDefault="00A754F2" w:rsidP="00A754F2">
      <w:pPr>
        <w:spacing w:after="0"/>
        <w:rPr>
          <w:rFonts w:ascii="Century Gothic" w:hAnsi="Century Gothic"/>
          <w:b/>
          <w:bCs/>
          <w:color w:val="0070C0"/>
          <w:sz w:val="20"/>
          <w:szCs w:val="20"/>
        </w:rPr>
      </w:pPr>
      <w:r w:rsidRPr="00E41963">
        <w:rPr>
          <w:rFonts w:ascii="Century Gothic" w:hAnsi="Century Gothic"/>
          <w:b/>
          <w:bCs/>
          <w:color w:val="0070C0"/>
          <w:sz w:val="20"/>
          <w:szCs w:val="20"/>
        </w:rPr>
        <w:t>The following notice informs students about what happens as a result of an unexpected closure of the University due to weather or safety concerns, for example:</w:t>
      </w:r>
    </w:p>
    <w:p w14:paraId="14689EA5" w14:textId="77777777" w:rsidR="00A754F2" w:rsidRDefault="00A754F2" w:rsidP="00A754F2">
      <w:pPr>
        <w:spacing w:after="0"/>
        <w:rPr>
          <w:rFonts w:ascii="Century Gothic" w:hAnsi="Century Gothic"/>
          <w:sz w:val="20"/>
          <w:szCs w:val="20"/>
        </w:rPr>
      </w:pPr>
    </w:p>
    <w:p w14:paraId="0C9AC93B" w14:textId="77777777" w:rsidR="00A754F2" w:rsidRPr="00AB1267" w:rsidRDefault="00A754F2" w:rsidP="00A754F2">
      <w:pPr>
        <w:rPr>
          <w:rFonts w:ascii="Century Gothic" w:hAnsi="Century Gothic"/>
          <w:i/>
          <w:sz w:val="20"/>
          <w:szCs w:val="20"/>
        </w:rPr>
      </w:pPr>
      <w:r w:rsidRPr="00AB1267">
        <w:rPr>
          <w:rFonts w:ascii="Century Gothic" w:hAnsi="Century Gothic"/>
          <w:i/>
          <w:sz w:val="20"/>
          <w:szCs w:val="20"/>
        </w:rPr>
        <w:t xml:space="preserve">In the event of an emergency, American University will implement a plan for meeting the needs of all members of the university community. Should the university be required to close for a period of time, we are committed to ensuring that all aspects of our educational programs will be delivered to our students. These may include altering and extending the duration of the traditional term schedule to complete essential instruction in the traditional format and/or use of distance instructional methods.  Specific strategies will vary from class to class, depending on the format of the course and the timing of the emergency. Faculty will communicate class-specific information to students via AU e-mail and Blackboard, while students must inform their faculty immediately of any absence. Students are responsible for checking their AU e-mail regularly and keeping themselves informed of emergencies. </w:t>
      </w:r>
    </w:p>
    <w:p w14:paraId="29269322" w14:textId="77777777" w:rsidR="00A754F2" w:rsidRDefault="00A754F2" w:rsidP="00A754F2">
      <w:pPr>
        <w:spacing w:after="0"/>
        <w:rPr>
          <w:rFonts w:ascii="Century Gothic" w:hAnsi="Century Gothic"/>
          <w:i/>
          <w:sz w:val="20"/>
          <w:szCs w:val="20"/>
        </w:rPr>
      </w:pPr>
      <w:r w:rsidRPr="00AB1267">
        <w:rPr>
          <w:rFonts w:ascii="Century Gothic" w:hAnsi="Century Gothic"/>
          <w:i/>
          <w:sz w:val="20"/>
          <w:szCs w:val="20"/>
        </w:rPr>
        <w:t>In the event of an emergency, students should refer to the AU Student Portal, the AU Web site</w:t>
      </w:r>
      <w:r>
        <w:rPr>
          <w:rFonts w:ascii="Century Gothic" w:hAnsi="Century Gothic"/>
          <w:i/>
          <w:sz w:val="20"/>
          <w:szCs w:val="20"/>
        </w:rPr>
        <w:t>,</w:t>
      </w:r>
      <w:r w:rsidRPr="00AB1267">
        <w:rPr>
          <w:rFonts w:ascii="Century Gothic" w:hAnsi="Century Gothic"/>
          <w:i/>
          <w:sz w:val="20"/>
          <w:szCs w:val="20"/>
        </w:rPr>
        <w:t xml:space="preserve"> and the AU information line at (202) 885-1100 for general university-wide information, as well as contact their faculty and/or respective dean’s office for course and school/college-specific information.</w:t>
      </w:r>
      <w:r>
        <w:rPr>
          <w:rFonts w:ascii="Century Gothic" w:hAnsi="Century Gothic"/>
          <w:i/>
          <w:sz w:val="20"/>
          <w:szCs w:val="20"/>
        </w:rPr>
        <w:t xml:space="preserve"> </w:t>
      </w:r>
    </w:p>
    <w:p w14:paraId="47E749C1" w14:textId="77777777" w:rsidR="00A754F2" w:rsidRDefault="00A754F2" w:rsidP="00A754F2">
      <w:pPr>
        <w:spacing w:after="0"/>
        <w:rPr>
          <w:rFonts w:ascii="Century Gothic" w:hAnsi="Century Gothic"/>
          <w:i/>
          <w:sz w:val="20"/>
          <w:szCs w:val="20"/>
        </w:rPr>
      </w:pPr>
    </w:p>
    <w:p w14:paraId="0F05591E" w14:textId="77777777" w:rsidR="00A754F2" w:rsidRDefault="00A754F2" w:rsidP="00A754F2">
      <w:pPr>
        <w:spacing w:after="0"/>
        <w:rPr>
          <w:rFonts w:ascii="Century Gothic" w:hAnsi="Century Gothic"/>
          <w:i/>
          <w:sz w:val="20"/>
          <w:szCs w:val="20"/>
        </w:rPr>
      </w:pPr>
      <w:r>
        <w:rPr>
          <w:rFonts w:ascii="Century Gothic" w:hAnsi="Century Gothic"/>
          <w:i/>
          <w:sz w:val="20"/>
          <w:szCs w:val="20"/>
        </w:rPr>
        <w:t>See the Emergency Preparedness website for additional details:</w:t>
      </w:r>
    </w:p>
    <w:p w14:paraId="5B388BDE" w14:textId="77777777" w:rsidR="00A754F2" w:rsidRPr="00851FC3" w:rsidRDefault="00AD2BED" w:rsidP="00A754F2">
      <w:pPr>
        <w:spacing w:after="0"/>
        <w:rPr>
          <w:color w:val="00B0F0"/>
        </w:rPr>
      </w:pPr>
      <w:hyperlink r:id="rId18" w:history="1">
        <w:r w:rsidR="00A754F2" w:rsidRPr="00851FC3">
          <w:rPr>
            <w:rStyle w:val="Hyperlink"/>
            <w:rFonts w:ascii="Century Gothic" w:hAnsi="Century Gothic"/>
            <w:i/>
            <w:color w:val="00B0F0"/>
            <w:sz w:val="20"/>
            <w:szCs w:val="20"/>
          </w:rPr>
          <w:t>www.american.edu/emergency</w:t>
        </w:r>
      </w:hyperlink>
    </w:p>
    <w:p w14:paraId="6A4988B0" w14:textId="77777777" w:rsidR="00A754F2" w:rsidRDefault="00A754F2" w:rsidP="00A754F2">
      <w:pPr>
        <w:spacing w:after="0"/>
        <w:rPr>
          <w:rFonts w:ascii="Century Gothic" w:hAnsi="Century Gothic" w:cs="Arial"/>
          <w:sz w:val="20"/>
          <w:szCs w:val="20"/>
        </w:rPr>
      </w:pPr>
    </w:p>
    <w:p w14:paraId="220DACA5"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OASIS: Confidential Victim Advocacy</w:t>
      </w:r>
    </w:p>
    <w:p w14:paraId="01A4EE37" w14:textId="77777777" w:rsidR="00A754F2" w:rsidRDefault="00A754F2" w:rsidP="00A754F2">
      <w:pPr>
        <w:spacing w:after="0"/>
        <w:rPr>
          <w:rFonts w:ascii="Century Gothic" w:hAnsi="Century Gothic"/>
          <w:sz w:val="20"/>
          <w:szCs w:val="20"/>
        </w:rPr>
      </w:pPr>
    </w:p>
    <w:p w14:paraId="2F537744" w14:textId="77777777" w:rsidR="00A754F2" w:rsidRPr="00E41963" w:rsidRDefault="00A754F2" w:rsidP="00A754F2">
      <w:pPr>
        <w:spacing w:after="0"/>
        <w:rPr>
          <w:rFonts w:ascii="Century Gothic" w:hAnsi="Century Gothic"/>
          <w:b/>
          <w:bCs/>
          <w:color w:val="0070C0"/>
          <w:sz w:val="20"/>
          <w:szCs w:val="20"/>
        </w:rPr>
      </w:pPr>
      <w:r w:rsidRPr="00E41963">
        <w:rPr>
          <w:rFonts w:ascii="Century Gothic" w:hAnsi="Century Gothic"/>
          <w:b/>
          <w:bCs/>
          <w:color w:val="0070C0"/>
          <w:sz w:val="20"/>
          <w:szCs w:val="20"/>
        </w:rPr>
        <w:t>The following notice informs students about resources available through the Office of Advocacy Services for Interpersonal and Sexual Violence (OASIS):</w:t>
      </w:r>
    </w:p>
    <w:p w14:paraId="301349E4" w14:textId="77777777" w:rsidR="00A754F2" w:rsidRDefault="00A754F2" w:rsidP="00A754F2">
      <w:pPr>
        <w:spacing w:after="0"/>
        <w:rPr>
          <w:rFonts w:ascii="Century Gothic" w:hAnsi="Century Gothic"/>
          <w:sz w:val="20"/>
          <w:szCs w:val="20"/>
        </w:rPr>
      </w:pPr>
    </w:p>
    <w:p w14:paraId="6F067B2A" w14:textId="77777777" w:rsidR="00A754F2" w:rsidRDefault="00A754F2" w:rsidP="00A754F2">
      <w:pPr>
        <w:spacing w:after="0"/>
        <w:rPr>
          <w:rFonts w:ascii="Century Gothic" w:hAnsi="Century Gothic"/>
          <w:i/>
          <w:sz w:val="20"/>
          <w:szCs w:val="20"/>
        </w:rPr>
      </w:pPr>
      <w:r w:rsidRPr="00DA0BED">
        <w:rPr>
          <w:rStyle w:val="Strong"/>
          <w:i/>
          <w:iCs/>
          <w:sz w:val="20"/>
          <w:lang w:val="en"/>
        </w:rPr>
        <w:t xml:space="preserve">For </w:t>
      </w:r>
      <w:r>
        <w:rPr>
          <w:rStyle w:val="Strong"/>
          <w:i/>
          <w:iCs/>
          <w:sz w:val="20"/>
          <w:lang w:val="en"/>
        </w:rPr>
        <w:t>Fall</w:t>
      </w:r>
      <w:r w:rsidRPr="00DA0BED">
        <w:rPr>
          <w:rStyle w:val="Strong"/>
          <w:i/>
          <w:iCs/>
          <w:sz w:val="20"/>
          <w:lang w:val="en"/>
        </w:rPr>
        <w:t xml:space="preserve"> 2022</w:t>
      </w:r>
      <w:r>
        <w:rPr>
          <w:rFonts w:ascii="Century Gothic" w:hAnsi="Century Gothic"/>
          <w:i/>
          <w:sz w:val="20"/>
          <w:szCs w:val="20"/>
        </w:rPr>
        <w:t xml:space="preserve">, </w:t>
      </w:r>
      <w:r w:rsidRPr="00AB1267">
        <w:rPr>
          <w:rFonts w:ascii="Century Gothic" w:hAnsi="Century Gothic"/>
          <w:i/>
          <w:sz w:val="20"/>
          <w:szCs w:val="20"/>
        </w:rPr>
        <w:t>Health Promotion and Advocacy Center</w:t>
      </w:r>
      <w:r>
        <w:rPr>
          <w:rFonts w:ascii="Century Gothic" w:hAnsi="Century Gothic"/>
          <w:i/>
          <w:sz w:val="20"/>
          <w:szCs w:val="20"/>
        </w:rPr>
        <w:t xml:space="preserve"> services will be offered both virtually and in person. </w:t>
      </w:r>
      <w:r w:rsidRPr="00AB1267">
        <w:rPr>
          <w:rStyle w:val="Strong"/>
          <w:i/>
          <w:iCs/>
          <w:sz w:val="20"/>
          <w:lang w:val="en"/>
        </w:rPr>
        <w:t xml:space="preserve">See </w:t>
      </w:r>
      <w:r w:rsidRPr="009B01D9">
        <w:rPr>
          <w:rStyle w:val="Strong"/>
          <w:i/>
          <w:iCs/>
          <w:sz w:val="20"/>
          <w:lang w:val="en"/>
        </w:rPr>
        <w:t xml:space="preserve">their website for </w:t>
      </w:r>
      <w:r w:rsidRPr="00AB1267">
        <w:rPr>
          <w:rStyle w:val="Strong"/>
          <w:i/>
          <w:iCs/>
          <w:sz w:val="20"/>
          <w:lang w:val="en"/>
        </w:rPr>
        <w:t>additional details</w:t>
      </w:r>
      <w:r>
        <w:rPr>
          <w:rStyle w:val="Strong"/>
          <w:i/>
          <w:iCs/>
          <w:sz w:val="20"/>
          <w:lang w:val="en"/>
        </w:rPr>
        <w:t xml:space="preserve"> and to book appointments:</w:t>
      </w:r>
    </w:p>
    <w:p w14:paraId="66AFFFD1" w14:textId="77777777" w:rsidR="00A754F2" w:rsidRPr="007B5513" w:rsidRDefault="00AD2BED" w:rsidP="00A754F2">
      <w:pPr>
        <w:spacing w:after="0"/>
        <w:rPr>
          <w:rFonts w:ascii="Century Gothic" w:hAnsi="Century Gothic"/>
          <w:i/>
          <w:color w:val="00B0F0"/>
          <w:sz w:val="20"/>
          <w:szCs w:val="20"/>
        </w:rPr>
      </w:pPr>
      <w:hyperlink r:id="rId19" w:history="1">
        <w:r w:rsidR="00A754F2" w:rsidRPr="007B5513">
          <w:rPr>
            <w:rStyle w:val="Hyperlink"/>
            <w:rFonts w:ascii="Century Gothic" w:hAnsi="Century Gothic"/>
            <w:i/>
            <w:color w:val="00B0F0"/>
            <w:sz w:val="20"/>
            <w:szCs w:val="20"/>
          </w:rPr>
          <w:t>www.american.edu/ocl/promote-health/index.cfm</w:t>
        </w:r>
      </w:hyperlink>
    </w:p>
    <w:p w14:paraId="08F5D969" w14:textId="77777777" w:rsidR="00A754F2" w:rsidRDefault="00A754F2" w:rsidP="00A754F2">
      <w:pPr>
        <w:spacing w:after="0"/>
        <w:rPr>
          <w:rFonts w:ascii="Century Gothic" w:hAnsi="Century Gothic"/>
          <w:i/>
          <w:sz w:val="20"/>
          <w:szCs w:val="20"/>
        </w:rPr>
      </w:pPr>
    </w:p>
    <w:p w14:paraId="5AA23482" w14:textId="77777777" w:rsidR="00A754F2" w:rsidRDefault="00A754F2" w:rsidP="00A754F2">
      <w:pPr>
        <w:spacing w:after="0"/>
        <w:rPr>
          <w:rFonts w:ascii="Century Gothic" w:hAnsi="Century Gothic"/>
          <w:i/>
          <w:sz w:val="20"/>
          <w:szCs w:val="20"/>
        </w:rPr>
      </w:pPr>
      <w:r w:rsidRPr="00AB1267">
        <w:rPr>
          <w:rFonts w:ascii="Century Gothic" w:hAnsi="Century Gothic"/>
          <w:i/>
          <w:sz w:val="20"/>
          <w:szCs w:val="20"/>
        </w:rPr>
        <w:t xml:space="preserve">A program of the Health Promotion and Advocacy Center (x3276, Hughes Hall 105), OASIS (the Office of Advocacy Services for Interpersonal and Sexual Violence) provides free and confidential victim advocacy services for American University students who are impacted by all forms of sexual violence (e.g. sexual assault, rape, dating or domestic violence, sexual </w:t>
      </w:r>
      <w:r w:rsidRPr="00AB1267">
        <w:rPr>
          <w:rFonts w:ascii="Century Gothic" w:hAnsi="Century Gothic"/>
          <w:i/>
          <w:sz w:val="20"/>
          <w:szCs w:val="20"/>
        </w:rPr>
        <w:lastRenderedPageBreak/>
        <w:t>harassment, or stalking)--either directly or indirectly. To schedule an advocacy meeting with one of AU's confidential victim advocates, visit their You Can Book Me page</w:t>
      </w:r>
      <w:r>
        <w:rPr>
          <w:rFonts w:ascii="Century Gothic" w:hAnsi="Century Gothic"/>
          <w:i/>
          <w:sz w:val="20"/>
          <w:szCs w:val="20"/>
        </w:rPr>
        <w:t>:</w:t>
      </w:r>
    </w:p>
    <w:p w14:paraId="7C63E238" w14:textId="43A5D54F" w:rsidR="00A754F2" w:rsidRPr="001B3916" w:rsidRDefault="00AD2BED" w:rsidP="00A754F2">
      <w:pPr>
        <w:spacing w:after="0"/>
        <w:rPr>
          <w:rFonts w:ascii="Century Gothic" w:hAnsi="Century Gothic"/>
          <w:i/>
          <w:color w:val="00B0F0"/>
          <w:sz w:val="20"/>
          <w:szCs w:val="20"/>
        </w:rPr>
      </w:pPr>
      <w:hyperlink r:id="rId20" w:history="1">
        <w:r w:rsidR="00A754F2" w:rsidRPr="00BB6B4B">
          <w:rPr>
            <w:rStyle w:val="Hyperlink"/>
            <w:rFonts w:ascii="Century Gothic" w:hAnsi="Century Gothic"/>
            <w:i/>
            <w:color w:val="00B0F0"/>
            <w:sz w:val="20"/>
            <w:szCs w:val="20"/>
          </w:rPr>
          <w:t>auhpac.youcanbook.me</w:t>
        </w:r>
      </w:hyperlink>
    </w:p>
    <w:p w14:paraId="1EEA6F1D" w14:textId="77777777" w:rsidR="00A754F2" w:rsidRDefault="00A754F2" w:rsidP="00A754F2">
      <w:pPr>
        <w:spacing w:after="0"/>
        <w:rPr>
          <w:rFonts w:ascii="Century Gothic" w:hAnsi="Century Gothic" w:cs="Arial"/>
          <w:sz w:val="20"/>
          <w:szCs w:val="20"/>
        </w:rPr>
      </w:pPr>
    </w:p>
    <w:p w14:paraId="22B56D40"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Students with Disabilities</w:t>
      </w:r>
    </w:p>
    <w:p w14:paraId="252CEF31" w14:textId="77777777" w:rsidR="00A754F2" w:rsidRDefault="00A754F2" w:rsidP="00A754F2">
      <w:pPr>
        <w:spacing w:after="0"/>
        <w:rPr>
          <w:rFonts w:ascii="Century Gothic" w:hAnsi="Century Gothic"/>
          <w:sz w:val="20"/>
          <w:szCs w:val="20"/>
        </w:rPr>
      </w:pPr>
    </w:p>
    <w:p w14:paraId="47E0F475" w14:textId="77777777" w:rsidR="00A754F2" w:rsidRPr="00E41963" w:rsidRDefault="00A754F2" w:rsidP="00A754F2">
      <w:pPr>
        <w:spacing w:after="0"/>
        <w:rPr>
          <w:rFonts w:ascii="Century Gothic" w:hAnsi="Century Gothic"/>
          <w:b/>
          <w:bCs/>
          <w:color w:val="0070C0"/>
          <w:sz w:val="20"/>
          <w:szCs w:val="20"/>
        </w:rPr>
      </w:pPr>
      <w:r w:rsidRPr="00E41963">
        <w:rPr>
          <w:rFonts w:ascii="Century Gothic" w:hAnsi="Century Gothic"/>
          <w:b/>
          <w:bCs/>
          <w:color w:val="0070C0"/>
          <w:sz w:val="20"/>
          <w:szCs w:val="20"/>
        </w:rPr>
        <w:t>The following notice informs students with disabilities about appropriately requesting accommodations through the Academic Support and Access Center:</w:t>
      </w:r>
    </w:p>
    <w:p w14:paraId="1C0EF530" w14:textId="77777777" w:rsidR="00A754F2" w:rsidRDefault="00A754F2" w:rsidP="00A754F2">
      <w:pPr>
        <w:spacing w:after="0"/>
        <w:rPr>
          <w:rFonts w:ascii="Century Gothic" w:hAnsi="Century Gothic"/>
          <w:sz w:val="20"/>
          <w:szCs w:val="20"/>
        </w:rPr>
      </w:pPr>
    </w:p>
    <w:p w14:paraId="04E0ED43" w14:textId="77777777" w:rsidR="00A754F2" w:rsidRDefault="00A754F2" w:rsidP="00A754F2">
      <w:pPr>
        <w:spacing w:after="0"/>
        <w:rPr>
          <w:rStyle w:val="Strong"/>
          <w:b w:val="0"/>
          <w:bCs w:val="0"/>
          <w:i/>
          <w:iCs/>
          <w:sz w:val="20"/>
          <w:lang w:val="en"/>
        </w:rPr>
      </w:pPr>
      <w:r w:rsidRPr="009F7578">
        <w:rPr>
          <w:rStyle w:val="Strong"/>
          <w:i/>
          <w:iCs/>
          <w:sz w:val="20"/>
          <w:lang w:val="en"/>
        </w:rPr>
        <w:t xml:space="preserve">For </w:t>
      </w:r>
      <w:r>
        <w:rPr>
          <w:rStyle w:val="Strong"/>
          <w:i/>
          <w:iCs/>
          <w:sz w:val="20"/>
          <w:lang w:val="en"/>
        </w:rPr>
        <w:t>Fall 2022</w:t>
      </w:r>
      <w:r w:rsidRPr="00AB1267">
        <w:rPr>
          <w:rStyle w:val="Strong"/>
          <w:i/>
          <w:iCs/>
          <w:sz w:val="20"/>
          <w:lang w:val="en"/>
        </w:rPr>
        <w:t xml:space="preserve">, </w:t>
      </w:r>
      <w:r>
        <w:rPr>
          <w:rStyle w:val="Strong"/>
          <w:i/>
          <w:iCs/>
          <w:sz w:val="20"/>
          <w:lang w:val="en"/>
        </w:rPr>
        <w:t>Disability Accommodation</w:t>
      </w:r>
      <w:r w:rsidRPr="00AB1267">
        <w:rPr>
          <w:rStyle w:val="Strong"/>
          <w:i/>
          <w:iCs/>
          <w:sz w:val="20"/>
          <w:lang w:val="en"/>
        </w:rPr>
        <w:t xml:space="preserve"> services will be </w:t>
      </w:r>
      <w:r>
        <w:rPr>
          <w:rStyle w:val="Strong"/>
          <w:i/>
          <w:iCs/>
          <w:sz w:val="20"/>
          <w:lang w:val="en"/>
        </w:rPr>
        <w:t>offered</w:t>
      </w:r>
      <w:r w:rsidRPr="00AB1267">
        <w:rPr>
          <w:rStyle w:val="Strong"/>
          <w:i/>
          <w:iCs/>
          <w:sz w:val="20"/>
          <w:lang w:val="en"/>
        </w:rPr>
        <w:t xml:space="preserve"> virtually. See </w:t>
      </w:r>
      <w:r w:rsidRPr="009B01D9">
        <w:rPr>
          <w:rStyle w:val="Strong"/>
          <w:i/>
          <w:iCs/>
          <w:sz w:val="20"/>
          <w:lang w:val="en"/>
        </w:rPr>
        <w:t xml:space="preserve">their website for </w:t>
      </w:r>
      <w:r w:rsidRPr="00AB1267">
        <w:rPr>
          <w:rStyle w:val="Strong"/>
          <w:i/>
          <w:iCs/>
          <w:sz w:val="20"/>
          <w:lang w:val="en"/>
        </w:rPr>
        <w:t>additional details</w:t>
      </w:r>
      <w:r>
        <w:rPr>
          <w:rStyle w:val="Strong"/>
          <w:i/>
          <w:iCs/>
          <w:sz w:val="20"/>
          <w:lang w:val="en"/>
        </w:rPr>
        <w:t>:</w:t>
      </w:r>
    </w:p>
    <w:p w14:paraId="43FAC701" w14:textId="77777777" w:rsidR="00A754F2" w:rsidRPr="00314442" w:rsidRDefault="00AD2BED" w:rsidP="00A754F2">
      <w:pPr>
        <w:spacing w:after="0"/>
        <w:rPr>
          <w:rStyle w:val="Strong"/>
          <w:b w:val="0"/>
          <w:bCs w:val="0"/>
          <w:i/>
          <w:iCs/>
          <w:color w:val="00B0F0"/>
          <w:sz w:val="20"/>
          <w:lang w:val="en"/>
        </w:rPr>
      </w:pPr>
      <w:hyperlink r:id="rId21" w:history="1">
        <w:r w:rsidR="00A754F2" w:rsidRPr="00314442">
          <w:rPr>
            <w:rStyle w:val="Hyperlink"/>
            <w:rFonts w:ascii="Century Gothic" w:hAnsi="Century Gothic"/>
            <w:i/>
            <w:iCs/>
            <w:color w:val="00B0F0"/>
            <w:sz w:val="20"/>
            <w:szCs w:val="20"/>
            <w:lang w:val="en"/>
          </w:rPr>
          <w:t>www.american.edu/provost/academic-access/documentation-and-eligibility.cfm</w:t>
        </w:r>
      </w:hyperlink>
    </w:p>
    <w:p w14:paraId="06B15CE4" w14:textId="77777777" w:rsidR="00A754F2" w:rsidRDefault="00A754F2" w:rsidP="00A754F2">
      <w:pPr>
        <w:spacing w:after="0"/>
        <w:rPr>
          <w:rStyle w:val="Strong"/>
          <w:b w:val="0"/>
          <w:bCs w:val="0"/>
          <w:i/>
          <w:iCs/>
          <w:sz w:val="20"/>
          <w:lang w:val="en"/>
        </w:rPr>
      </w:pPr>
    </w:p>
    <w:p w14:paraId="5D453D0A" w14:textId="77777777" w:rsidR="00A754F2" w:rsidRPr="00AB1267" w:rsidRDefault="00A754F2" w:rsidP="00A754F2">
      <w:pPr>
        <w:spacing w:after="0"/>
        <w:rPr>
          <w:rFonts w:ascii="Century Gothic" w:hAnsi="Century Gothic"/>
          <w:i/>
          <w:sz w:val="20"/>
          <w:szCs w:val="20"/>
        </w:rPr>
      </w:pPr>
      <w:r w:rsidRPr="00AB1267">
        <w:rPr>
          <w:rStyle w:val="Strong"/>
          <w:i/>
          <w:iCs/>
          <w:sz w:val="20"/>
          <w:lang w:val="en"/>
        </w:rPr>
        <w:t xml:space="preserve">If you wish to receive accommodations for a disability, please notify </w:t>
      </w:r>
      <w:r>
        <w:rPr>
          <w:rStyle w:val="Strong"/>
          <w:i/>
          <w:iCs/>
          <w:sz w:val="20"/>
          <w:lang w:val="en"/>
        </w:rPr>
        <w:t>your instructor</w:t>
      </w:r>
      <w:r w:rsidRPr="00AB1267">
        <w:rPr>
          <w:rStyle w:val="Strong"/>
          <w:i/>
          <w:iCs/>
          <w:sz w:val="20"/>
          <w:lang w:val="en"/>
        </w:rPr>
        <w:t xml:space="preserve"> with a letter from the Academic Support and Access Center. As accommodations are not retroactive, timely notification at the beginning of the semester, if possible, is strongly recommended. </w:t>
      </w:r>
      <w:r w:rsidRPr="00AB1267">
        <w:rPr>
          <w:rStyle w:val="Emphasis"/>
          <w:sz w:val="20"/>
        </w:rPr>
        <w:t xml:space="preserve">To register with a disability or for questions about disability accommodations, contact the Academic Support and Access Center at 202-885-3360 or </w:t>
      </w:r>
      <w:hyperlink r:id="rId22" w:history="1">
        <w:r w:rsidRPr="00AB1267">
          <w:rPr>
            <w:rStyle w:val="Hyperlink"/>
            <w:rFonts w:ascii="Century Gothic" w:hAnsi="Century Gothic"/>
            <w:i/>
            <w:sz w:val="20"/>
            <w:szCs w:val="20"/>
          </w:rPr>
          <w:t>asac@american.edu</w:t>
        </w:r>
      </w:hyperlink>
      <w:r w:rsidRPr="00AB1267">
        <w:rPr>
          <w:rStyle w:val="Emphasis"/>
          <w:sz w:val="20"/>
        </w:rPr>
        <w:t>, or drop by the ASAC in MGC 243.</w:t>
      </w:r>
    </w:p>
    <w:p w14:paraId="709A4377" w14:textId="77777777" w:rsidR="00A754F2" w:rsidRDefault="00A754F2" w:rsidP="00A754F2">
      <w:pPr>
        <w:spacing w:after="0"/>
        <w:rPr>
          <w:rFonts w:ascii="Century Gothic" w:hAnsi="Century Gothic" w:cs="Arial"/>
          <w:sz w:val="20"/>
          <w:szCs w:val="20"/>
        </w:rPr>
      </w:pPr>
    </w:p>
    <w:p w14:paraId="691B2B3B" w14:textId="77777777" w:rsidR="00A754F2" w:rsidRPr="00F7131D" w:rsidRDefault="00A754F2" w:rsidP="00A754F2">
      <w:pPr>
        <w:pStyle w:val="HEADERA"/>
        <w:shd w:val="clear" w:color="auto" w:fill="8496B0" w:themeFill="text2" w:themeFillTint="99"/>
        <w:spacing w:after="0"/>
        <w:rPr>
          <w:rStyle w:val="HeaderAFillChar"/>
        </w:rPr>
      </w:pPr>
      <w:r>
        <w:rPr>
          <w:color w:val="8496B0" w:themeColor="text2" w:themeTint="99"/>
        </w:rPr>
        <w:t xml:space="preserve">   </w:t>
      </w:r>
      <w:r>
        <w:rPr>
          <w:b/>
          <w:color w:val="FFFFFF" w:themeColor="background1"/>
        </w:rPr>
        <w:t>Writing Center</w:t>
      </w:r>
    </w:p>
    <w:p w14:paraId="52567224" w14:textId="77777777" w:rsidR="00A754F2" w:rsidRDefault="00A754F2" w:rsidP="00A754F2">
      <w:pPr>
        <w:spacing w:after="0"/>
        <w:rPr>
          <w:rFonts w:ascii="Century Gothic" w:hAnsi="Century Gothic"/>
          <w:sz w:val="20"/>
          <w:szCs w:val="20"/>
        </w:rPr>
      </w:pPr>
    </w:p>
    <w:p w14:paraId="5965A4A5" w14:textId="77777777" w:rsidR="00A754F2" w:rsidRPr="00E41963" w:rsidRDefault="00A754F2" w:rsidP="00A754F2">
      <w:pPr>
        <w:spacing w:after="0"/>
        <w:rPr>
          <w:rFonts w:ascii="Century Gothic" w:hAnsi="Century Gothic"/>
          <w:b/>
          <w:bCs/>
          <w:color w:val="0070C0"/>
          <w:sz w:val="20"/>
          <w:szCs w:val="20"/>
        </w:rPr>
      </w:pPr>
      <w:r w:rsidRPr="00E41963">
        <w:rPr>
          <w:rFonts w:ascii="Century Gothic" w:hAnsi="Century Gothic"/>
          <w:b/>
          <w:bCs/>
          <w:color w:val="0070C0"/>
          <w:sz w:val="20"/>
          <w:szCs w:val="20"/>
        </w:rPr>
        <w:t>The following notice informs students about resources available through the Writing Center:</w:t>
      </w:r>
    </w:p>
    <w:p w14:paraId="2B6A386B" w14:textId="77777777" w:rsidR="00A754F2" w:rsidRDefault="00A754F2" w:rsidP="00A754F2">
      <w:pPr>
        <w:spacing w:after="0"/>
      </w:pPr>
    </w:p>
    <w:p w14:paraId="2503189F" w14:textId="77777777" w:rsidR="00A754F2" w:rsidRDefault="00A754F2" w:rsidP="00A754F2">
      <w:pPr>
        <w:spacing w:after="0"/>
        <w:rPr>
          <w:rStyle w:val="Strong"/>
          <w:b w:val="0"/>
          <w:bCs w:val="0"/>
          <w:i/>
          <w:iCs/>
          <w:sz w:val="20"/>
          <w:lang w:val="en"/>
        </w:rPr>
      </w:pPr>
      <w:r w:rsidRPr="009F7578">
        <w:rPr>
          <w:rStyle w:val="Strong"/>
          <w:i/>
          <w:iCs/>
          <w:sz w:val="20"/>
          <w:lang w:val="en"/>
        </w:rPr>
        <w:t xml:space="preserve">For </w:t>
      </w:r>
      <w:r>
        <w:rPr>
          <w:rStyle w:val="Strong"/>
          <w:i/>
          <w:iCs/>
          <w:sz w:val="20"/>
          <w:lang w:val="en"/>
        </w:rPr>
        <w:t>Fall 2022</w:t>
      </w:r>
      <w:r w:rsidRPr="00AB1267">
        <w:rPr>
          <w:rStyle w:val="Strong"/>
          <w:i/>
          <w:iCs/>
          <w:sz w:val="20"/>
          <w:lang w:val="en"/>
        </w:rPr>
        <w:t>,</w:t>
      </w:r>
      <w:r>
        <w:rPr>
          <w:rStyle w:val="Strong"/>
          <w:i/>
          <w:iCs/>
          <w:sz w:val="20"/>
          <w:lang w:val="en"/>
        </w:rPr>
        <w:t xml:space="preserve"> Writing Center services will be offered both virtually and in person. See their website for additional details:</w:t>
      </w:r>
    </w:p>
    <w:p w14:paraId="02D444A3" w14:textId="77777777" w:rsidR="00A754F2" w:rsidRPr="00133E7A" w:rsidRDefault="00AD2BED" w:rsidP="00A754F2">
      <w:pPr>
        <w:spacing w:after="0"/>
        <w:rPr>
          <w:rFonts w:ascii="Century Gothic" w:hAnsi="Century Gothic"/>
          <w:i/>
          <w:color w:val="00B0F0"/>
          <w:sz w:val="20"/>
          <w:szCs w:val="20"/>
        </w:rPr>
      </w:pPr>
      <w:hyperlink r:id="rId23" w:history="1">
        <w:r w:rsidR="00A754F2">
          <w:rPr>
            <w:rStyle w:val="Hyperlink"/>
            <w:rFonts w:ascii="Century Gothic" w:hAnsi="Century Gothic"/>
            <w:i/>
            <w:color w:val="00B0F0"/>
            <w:sz w:val="20"/>
            <w:szCs w:val="20"/>
          </w:rPr>
          <w:t>www.american.edu/provost/academic-access/writing-center/</w:t>
        </w:r>
      </w:hyperlink>
    </w:p>
    <w:p w14:paraId="2459CF86" w14:textId="77777777" w:rsidR="00A754F2" w:rsidRDefault="00A754F2" w:rsidP="00A754F2">
      <w:pPr>
        <w:spacing w:after="0"/>
        <w:rPr>
          <w:rFonts w:ascii="Century Gothic" w:hAnsi="Century Gothic"/>
          <w:i/>
          <w:sz w:val="20"/>
          <w:szCs w:val="20"/>
        </w:rPr>
      </w:pPr>
    </w:p>
    <w:p w14:paraId="247B04E7" w14:textId="77777777" w:rsidR="00A754F2" w:rsidRDefault="00A754F2" w:rsidP="00A754F2">
      <w:pPr>
        <w:spacing w:after="0"/>
        <w:rPr>
          <w:rFonts w:ascii="Century Gothic" w:hAnsi="Century Gothic"/>
          <w:i/>
          <w:sz w:val="20"/>
          <w:szCs w:val="20"/>
        </w:rPr>
      </w:pPr>
      <w:r w:rsidRPr="00AB1267">
        <w:rPr>
          <w:rFonts w:ascii="Century Gothic" w:hAnsi="Century Gothic"/>
          <w:i/>
          <w:sz w:val="20"/>
          <w:szCs w:val="20"/>
        </w:rPr>
        <w:t>The Writing Center (x2291, Bender Library, 1st floor) provides writing consultants to assist students with writing projects. Students must set up a free appointment</w:t>
      </w:r>
      <w:r>
        <w:rPr>
          <w:rFonts w:ascii="Century Gothic" w:hAnsi="Century Gothic"/>
          <w:i/>
          <w:sz w:val="20"/>
          <w:szCs w:val="20"/>
        </w:rPr>
        <w:t xml:space="preserve"> via WC Online:</w:t>
      </w:r>
    </w:p>
    <w:p w14:paraId="1E77C565" w14:textId="77777777" w:rsidR="00A754F2" w:rsidRPr="00133E7A" w:rsidRDefault="00AD2BED" w:rsidP="00A754F2">
      <w:pPr>
        <w:spacing w:after="0"/>
        <w:rPr>
          <w:rFonts w:ascii="Century Gothic" w:hAnsi="Century Gothic"/>
          <w:i/>
          <w:color w:val="00B0F0"/>
          <w:sz w:val="20"/>
          <w:szCs w:val="20"/>
        </w:rPr>
      </w:pPr>
      <w:hyperlink r:id="rId24" w:history="1">
        <w:r w:rsidR="00A754F2" w:rsidRPr="00133E7A">
          <w:rPr>
            <w:rStyle w:val="Hyperlink"/>
            <w:rFonts w:ascii="Century Gothic" w:hAnsi="Century Gothic"/>
            <w:i/>
            <w:color w:val="00B0F0"/>
            <w:sz w:val="20"/>
            <w:szCs w:val="20"/>
          </w:rPr>
          <w:t>www.american.mywconline.net</w:t>
        </w:r>
      </w:hyperlink>
    </w:p>
    <w:p w14:paraId="73DC855C" w14:textId="77777777" w:rsidR="00A754F2" w:rsidRDefault="00A754F2" w:rsidP="00A754F2">
      <w:pPr>
        <w:rPr>
          <w:rFonts w:ascii="Century Gothic" w:hAnsi="Century Gothic" w:cs="Arial"/>
          <w:sz w:val="20"/>
          <w:szCs w:val="20"/>
        </w:rPr>
      </w:pPr>
    </w:p>
    <w:p w14:paraId="6DF51A2C" w14:textId="77777777" w:rsidR="00A754F2" w:rsidRPr="008012D6" w:rsidRDefault="00A754F2" w:rsidP="00A754F2">
      <w:pPr>
        <w:spacing w:line="240" w:lineRule="auto"/>
        <w:contextualSpacing/>
        <w:rPr>
          <w:rFonts w:ascii="Garamond" w:hAnsi="Garamond" w:cstheme="minorHAnsi"/>
          <w:sz w:val="24"/>
          <w:szCs w:val="24"/>
        </w:rPr>
      </w:pPr>
    </w:p>
    <w:p w14:paraId="6EF9FEA5" w14:textId="77777777" w:rsidR="00A754F2" w:rsidRPr="00AE0CC1" w:rsidRDefault="00A754F2" w:rsidP="00A754F2">
      <w:pPr>
        <w:spacing w:line="240" w:lineRule="auto"/>
        <w:contextualSpacing/>
        <w:rPr>
          <w:rFonts w:ascii="Garamond" w:hAnsi="Garamond" w:cs="Times New Roman"/>
          <w:sz w:val="24"/>
          <w:szCs w:val="24"/>
        </w:rPr>
      </w:pPr>
    </w:p>
    <w:p w14:paraId="675F5252" w14:textId="77777777" w:rsidR="00EC3ED1" w:rsidRPr="00100F40" w:rsidRDefault="00EC3ED1" w:rsidP="00E213B5">
      <w:pPr>
        <w:rPr>
          <w:rFonts w:ascii="Garamond" w:hAnsi="Garamond" w:cstheme="minorHAnsi"/>
          <w:sz w:val="24"/>
          <w:szCs w:val="24"/>
        </w:rPr>
      </w:pPr>
    </w:p>
    <w:sectPr w:rsidR="00EC3ED1" w:rsidRPr="00100F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EAEE" w14:textId="77777777" w:rsidR="00A57FCF" w:rsidRDefault="00A57FCF" w:rsidP="00A96125">
      <w:pPr>
        <w:spacing w:after="0" w:line="240" w:lineRule="auto"/>
      </w:pPr>
      <w:r>
        <w:separator/>
      </w:r>
    </w:p>
  </w:endnote>
  <w:endnote w:type="continuationSeparator" w:id="0">
    <w:p w14:paraId="450A5769" w14:textId="77777777" w:rsidR="00A57FCF" w:rsidRDefault="00A57FCF" w:rsidP="00A9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BE0D" w14:textId="77777777" w:rsidR="00A57FCF" w:rsidRDefault="00A57FCF" w:rsidP="00A96125">
      <w:pPr>
        <w:spacing w:after="0" w:line="240" w:lineRule="auto"/>
      </w:pPr>
      <w:r>
        <w:separator/>
      </w:r>
    </w:p>
  </w:footnote>
  <w:footnote w:type="continuationSeparator" w:id="0">
    <w:p w14:paraId="03EFED55" w14:textId="77777777" w:rsidR="00A57FCF" w:rsidRDefault="00A57FCF" w:rsidP="00A96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A56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C76"/>
    <w:multiLevelType w:val="hybridMultilevel"/>
    <w:tmpl w:val="B5AC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75296"/>
    <w:multiLevelType w:val="hybridMultilevel"/>
    <w:tmpl w:val="249A9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12CD"/>
    <w:multiLevelType w:val="hybridMultilevel"/>
    <w:tmpl w:val="D4F8D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A09B0"/>
    <w:multiLevelType w:val="hybridMultilevel"/>
    <w:tmpl w:val="8DF8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1187"/>
    <w:multiLevelType w:val="hybridMultilevel"/>
    <w:tmpl w:val="00000001"/>
    <w:lvl w:ilvl="0" w:tplc="00000001">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C605D9"/>
    <w:multiLevelType w:val="hybridMultilevel"/>
    <w:tmpl w:val="3864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53553"/>
    <w:multiLevelType w:val="hybridMultilevel"/>
    <w:tmpl w:val="CDD63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B58AB"/>
    <w:multiLevelType w:val="hybridMultilevel"/>
    <w:tmpl w:val="286E5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DAC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C7287A"/>
    <w:multiLevelType w:val="hybridMultilevel"/>
    <w:tmpl w:val="F4B6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E0BB8"/>
    <w:multiLevelType w:val="hybridMultilevel"/>
    <w:tmpl w:val="8574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91DAC"/>
    <w:multiLevelType w:val="hybridMultilevel"/>
    <w:tmpl w:val="6200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C0DDA"/>
    <w:multiLevelType w:val="hybridMultilevel"/>
    <w:tmpl w:val="3AECC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A41DE"/>
    <w:multiLevelType w:val="hybridMultilevel"/>
    <w:tmpl w:val="51BE7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115C5"/>
    <w:multiLevelType w:val="hybridMultilevel"/>
    <w:tmpl w:val="85741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DB1A2B"/>
    <w:multiLevelType w:val="hybridMultilevel"/>
    <w:tmpl w:val="3226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D304F"/>
    <w:multiLevelType w:val="hybridMultilevel"/>
    <w:tmpl w:val="0710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65008"/>
    <w:multiLevelType w:val="hybridMultilevel"/>
    <w:tmpl w:val="06EC1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66D16"/>
    <w:multiLevelType w:val="hybridMultilevel"/>
    <w:tmpl w:val="B58E7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B4DCF"/>
    <w:multiLevelType w:val="hybridMultilevel"/>
    <w:tmpl w:val="A410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64C22"/>
    <w:multiLevelType w:val="hybridMultilevel"/>
    <w:tmpl w:val="85741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A837FF"/>
    <w:multiLevelType w:val="hybridMultilevel"/>
    <w:tmpl w:val="BBC27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CA42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50486D"/>
    <w:multiLevelType w:val="hybridMultilevel"/>
    <w:tmpl w:val="C024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681152">
    <w:abstractNumId w:val="24"/>
  </w:num>
  <w:num w:numId="2" w16cid:durableId="2084183702">
    <w:abstractNumId w:val="3"/>
  </w:num>
  <w:num w:numId="3" w16cid:durableId="1050035253">
    <w:abstractNumId w:val="2"/>
  </w:num>
  <w:num w:numId="4" w16cid:durableId="1203515439">
    <w:abstractNumId w:val="22"/>
  </w:num>
  <w:num w:numId="5" w16cid:durableId="240221265">
    <w:abstractNumId w:val="5"/>
  </w:num>
  <w:num w:numId="6" w16cid:durableId="697395239">
    <w:abstractNumId w:val="10"/>
  </w:num>
  <w:num w:numId="7" w16cid:durableId="1097285442">
    <w:abstractNumId w:val="1"/>
  </w:num>
  <w:num w:numId="8" w16cid:durableId="800533909">
    <w:abstractNumId w:val="11"/>
  </w:num>
  <w:num w:numId="9" w16cid:durableId="2121685171">
    <w:abstractNumId w:val="21"/>
  </w:num>
  <w:num w:numId="10" w16cid:durableId="1833986969">
    <w:abstractNumId w:val="15"/>
  </w:num>
  <w:num w:numId="11" w16cid:durableId="1101606533">
    <w:abstractNumId w:val="18"/>
  </w:num>
  <w:num w:numId="12" w16cid:durableId="1547060036">
    <w:abstractNumId w:val="16"/>
  </w:num>
  <w:num w:numId="13" w16cid:durableId="1408069626">
    <w:abstractNumId w:val="14"/>
  </w:num>
  <w:num w:numId="14" w16cid:durableId="2114277169">
    <w:abstractNumId w:val="20"/>
  </w:num>
  <w:num w:numId="15" w16cid:durableId="399135916">
    <w:abstractNumId w:val="6"/>
  </w:num>
  <w:num w:numId="16" w16cid:durableId="149490712">
    <w:abstractNumId w:val="17"/>
  </w:num>
  <w:num w:numId="17" w16cid:durableId="1717585417">
    <w:abstractNumId w:val="7"/>
  </w:num>
  <w:num w:numId="18" w16cid:durableId="15275649">
    <w:abstractNumId w:val="4"/>
  </w:num>
  <w:num w:numId="19" w16cid:durableId="1989090002">
    <w:abstractNumId w:val="19"/>
  </w:num>
  <w:num w:numId="20" w16cid:durableId="2031563014">
    <w:abstractNumId w:val="13"/>
  </w:num>
  <w:num w:numId="21" w16cid:durableId="1474566716">
    <w:abstractNumId w:val="8"/>
  </w:num>
  <w:num w:numId="22" w16cid:durableId="347024647">
    <w:abstractNumId w:val="0"/>
  </w:num>
  <w:num w:numId="23" w16cid:durableId="1915581812">
    <w:abstractNumId w:val="9"/>
  </w:num>
  <w:num w:numId="24" w16cid:durableId="2112820318">
    <w:abstractNumId w:val="23"/>
  </w:num>
  <w:num w:numId="25" w16cid:durableId="1120806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42"/>
    <w:rsid w:val="00002359"/>
    <w:rsid w:val="0000269B"/>
    <w:rsid w:val="000033B6"/>
    <w:rsid w:val="000037D0"/>
    <w:rsid w:val="00007B32"/>
    <w:rsid w:val="00007E3B"/>
    <w:rsid w:val="000135C3"/>
    <w:rsid w:val="00016483"/>
    <w:rsid w:val="0002233E"/>
    <w:rsid w:val="00024CA6"/>
    <w:rsid w:val="000321CD"/>
    <w:rsid w:val="000362FF"/>
    <w:rsid w:val="0003697F"/>
    <w:rsid w:val="00037455"/>
    <w:rsid w:val="00041309"/>
    <w:rsid w:val="000448CC"/>
    <w:rsid w:val="00050656"/>
    <w:rsid w:val="0005164C"/>
    <w:rsid w:val="00052E3F"/>
    <w:rsid w:val="000565BA"/>
    <w:rsid w:val="000612D9"/>
    <w:rsid w:val="0006273C"/>
    <w:rsid w:val="00062A65"/>
    <w:rsid w:val="0008044B"/>
    <w:rsid w:val="00083F35"/>
    <w:rsid w:val="00087827"/>
    <w:rsid w:val="00090819"/>
    <w:rsid w:val="00090C23"/>
    <w:rsid w:val="00095A20"/>
    <w:rsid w:val="000A0898"/>
    <w:rsid w:val="000A1720"/>
    <w:rsid w:val="000A3273"/>
    <w:rsid w:val="000A3D73"/>
    <w:rsid w:val="000A4A70"/>
    <w:rsid w:val="000A517A"/>
    <w:rsid w:val="000B0D9A"/>
    <w:rsid w:val="000B25B9"/>
    <w:rsid w:val="000B67DE"/>
    <w:rsid w:val="000C0F3D"/>
    <w:rsid w:val="000C3865"/>
    <w:rsid w:val="000C3B06"/>
    <w:rsid w:val="000C3C8B"/>
    <w:rsid w:val="000C3DCA"/>
    <w:rsid w:val="000D7DE7"/>
    <w:rsid w:val="000E158C"/>
    <w:rsid w:val="000E3E1B"/>
    <w:rsid w:val="000E6796"/>
    <w:rsid w:val="000E75A8"/>
    <w:rsid w:val="000F144D"/>
    <w:rsid w:val="000F270D"/>
    <w:rsid w:val="000F27E1"/>
    <w:rsid w:val="000F3004"/>
    <w:rsid w:val="000F472D"/>
    <w:rsid w:val="000F58D2"/>
    <w:rsid w:val="001006F5"/>
    <w:rsid w:val="00100F40"/>
    <w:rsid w:val="00103F8D"/>
    <w:rsid w:val="0010613A"/>
    <w:rsid w:val="001128F3"/>
    <w:rsid w:val="00113A62"/>
    <w:rsid w:val="00114599"/>
    <w:rsid w:val="00117153"/>
    <w:rsid w:val="00122EAC"/>
    <w:rsid w:val="001230B0"/>
    <w:rsid w:val="0012427E"/>
    <w:rsid w:val="00125991"/>
    <w:rsid w:val="00131785"/>
    <w:rsid w:val="00143F84"/>
    <w:rsid w:val="00145A1C"/>
    <w:rsid w:val="00146C52"/>
    <w:rsid w:val="00146D53"/>
    <w:rsid w:val="00147BC4"/>
    <w:rsid w:val="00153F4D"/>
    <w:rsid w:val="00163AC5"/>
    <w:rsid w:val="00177097"/>
    <w:rsid w:val="0018449D"/>
    <w:rsid w:val="001853FF"/>
    <w:rsid w:val="00193691"/>
    <w:rsid w:val="001940FB"/>
    <w:rsid w:val="00194BBE"/>
    <w:rsid w:val="001B0488"/>
    <w:rsid w:val="001B1C19"/>
    <w:rsid w:val="001B3916"/>
    <w:rsid w:val="001B3EC2"/>
    <w:rsid w:val="001C1A66"/>
    <w:rsid w:val="001C3D4E"/>
    <w:rsid w:val="001C40C9"/>
    <w:rsid w:val="001C4471"/>
    <w:rsid w:val="001C4EA6"/>
    <w:rsid w:val="001D35E1"/>
    <w:rsid w:val="001D46D8"/>
    <w:rsid w:val="001D78EA"/>
    <w:rsid w:val="001E2997"/>
    <w:rsid w:val="001E3078"/>
    <w:rsid w:val="001E5057"/>
    <w:rsid w:val="001F71B5"/>
    <w:rsid w:val="00200490"/>
    <w:rsid w:val="00200E17"/>
    <w:rsid w:val="002054DB"/>
    <w:rsid w:val="002055B7"/>
    <w:rsid w:val="00206BCE"/>
    <w:rsid w:val="00206FAD"/>
    <w:rsid w:val="00207F58"/>
    <w:rsid w:val="00210570"/>
    <w:rsid w:val="002135C6"/>
    <w:rsid w:val="00214AFE"/>
    <w:rsid w:val="00217515"/>
    <w:rsid w:val="00220C6F"/>
    <w:rsid w:val="00230D31"/>
    <w:rsid w:val="00232541"/>
    <w:rsid w:val="00236F19"/>
    <w:rsid w:val="00244B5E"/>
    <w:rsid w:val="002458C1"/>
    <w:rsid w:val="00251087"/>
    <w:rsid w:val="00255F2F"/>
    <w:rsid w:val="00262275"/>
    <w:rsid w:val="002644E2"/>
    <w:rsid w:val="002658A0"/>
    <w:rsid w:val="002708F8"/>
    <w:rsid w:val="00274B17"/>
    <w:rsid w:val="002767A1"/>
    <w:rsid w:val="00276CB6"/>
    <w:rsid w:val="00283CCE"/>
    <w:rsid w:val="00295520"/>
    <w:rsid w:val="00297788"/>
    <w:rsid w:val="002A06FD"/>
    <w:rsid w:val="002A1584"/>
    <w:rsid w:val="002A6FB8"/>
    <w:rsid w:val="002B0655"/>
    <w:rsid w:val="002B1DA2"/>
    <w:rsid w:val="002B4B40"/>
    <w:rsid w:val="002C11A1"/>
    <w:rsid w:val="002C1226"/>
    <w:rsid w:val="002C16C1"/>
    <w:rsid w:val="002C552C"/>
    <w:rsid w:val="002D01A1"/>
    <w:rsid w:val="002D2435"/>
    <w:rsid w:val="002D649E"/>
    <w:rsid w:val="002D6AAC"/>
    <w:rsid w:val="002E4A6F"/>
    <w:rsid w:val="002E58B9"/>
    <w:rsid w:val="00300771"/>
    <w:rsid w:val="00303BFC"/>
    <w:rsid w:val="00304D72"/>
    <w:rsid w:val="003076F2"/>
    <w:rsid w:val="003108CD"/>
    <w:rsid w:val="00314AA1"/>
    <w:rsid w:val="00317398"/>
    <w:rsid w:val="0031776F"/>
    <w:rsid w:val="0032211C"/>
    <w:rsid w:val="00324D27"/>
    <w:rsid w:val="00327AED"/>
    <w:rsid w:val="00327DDC"/>
    <w:rsid w:val="003305B8"/>
    <w:rsid w:val="00330A2C"/>
    <w:rsid w:val="00340219"/>
    <w:rsid w:val="0034038C"/>
    <w:rsid w:val="003426B9"/>
    <w:rsid w:val="003444B9"/>
    <w:rsid w:val="003510CE"/>
    <w:rsid w:val="00352E19"/>
    <w:rsid w:val="00353856"/>
    <w:rsid w:val="00354A50"/>
    <w:rsid w:val="00362DBC"/>
    <w:rsid w:val="003660F3"/>
    <w:rsid w:val="00367C4C"/>
    <w:rsid w:val="003709C4"/>
    <w:rsid w:val="003803CC"/>
    <w:rsid w:val="00380B30"/>
    <w:rsid w:val="00380BBF"/>
    <w:rsid w:val="00383662"/>
    <w:rsid w:val="003837E5"/>
    <w:rsid w:val="00385010"/>
    <w:rsid w:val="003906FA"/>
    <w:rsid w:val="00390D64"/>
    <w:rsid w:val="00391963"/>
    <w:rsid w:val="00393E10"/>
    <w:rsid w:val="00396CD9"/>
    <w:rsid w:val="003A095D"/>
    <w:rsid w:val="003A16CF"/>
    <w:rsid w:val="003A2D4A"/>
    <w:rsid w:val="003A60A8"/>
    <w:rsid w:val="003B3777"/>
    <w:rsid w:val="003B4F41"/>
    <w:rsid w:val="003C0A08"/>
    <w:rsid w:val="003C0E0C"/>
    <w:rsid w:val="003C2077"/>
    <w:rsid w:val="003C3534"/>
    <w:rsid w:val="003C4CE1"/>
    <w:rsid w:val="003C64B8"/>
    <w:rsid w:val="003D0ED8"/>
    <w:rsid w:val="003E72C6"/>
    <w:rsid w:val="003F085E"/>
    <w:rsid w:val="003F3654"/>
    <w:rsid w:val="003F3C77"/>
    <w:rsid w:val="003F423A"/>
    <w:rsid w:val="003F45E3"/>
    <w:rsid w:val="003F4B52"/>
    <w:rsid w:val="003F5A43"/>
    <w:rsid w:val="003F7AFE"/>
    <w:rsid w:val="004001C8"/>
    <w:rsid w:val="00400F4F"/>
    <w:rsid w:val="00401C49"/>
    <w:rsid w:val="004146B9"/>
    <w:rsid w:val="00416AA6"/>
    <w:rsid w:val="00417AF6"/>
    <w:rsid w:val="004204D6"/>
    <w:rsid w:val="00422798"/>
    <w:rsid w:val="00422D34"/>
    <w:rsid w:val="004320B8"/>
    <w:rsid w:val="004332FE"/>
    <w:rsid w:val="00434177"/>
    <w:rsid w:val="00434957"/>
    <w:rsid w:val="0043647D"/>
    <w:rsid w:val="00436DE8"/>
    <w:rsid w:val="00443DDC"/>
    <w:rsid w:val="004471FF"/>
    <w:rsid w:val="00447B06"/>
    <w:rsid w:val="00451976"/>
    <w:rsid w:val="00454B37"/>
    <w:rsid w:val="00457B04"/>
    <w:rsid w:val="00461E43"/>
    <w:rsid w:val="00462632"/>
    <w:rsid w:val="00463649"/>
    <w:rsid w:val="00471A1B"/>
    <w:rsid w:val="00476F75"/>
    <w:rsid w:val="0047754C"/>
    <w:rsid w:val="004807D6"/>
    <w:rsid w:val="0048221A"/>
    <w:rsid w:val="0048318D"/>
    <w:rsid w:val="00484AF8"/>
    <w:rsid w:val="00485A12"/>
    <w:rsid w:val="00490D10"/>
    <w:rsid w:val="00494D74"/>
    <w:rsid w:val="004A22F0"/>
    <w:rsid w:val="004A6E3E"/>
    <w:rsid w:val="004B0175"/>
    <w:rsid w:val="004B3DA5"/>
    <w:rsid w:val="004B73CE"/>
    <w:rsid w:val="004C2824"/>
    <w:rsid w:val="004C529B"/>
    <w:rsid w:val="004C75E4"/>
    <w:rsid w:val="004D2FDD"/>
    <w:rsid w:val="004D5086"/>
    <w:rsid w:val="004D6282"/>
    <w:rsid w:val="004E095A"/>
    <w:rsid w:val="004E0D0C"/>
    <w:rsid w:val="004E3BC2"/>
    <w:rsid w:val="004F03CD"/>
    <w:rsid w:val="004F09DF"/>
    <w:rsid w:val="004F40ED"/>
    <w:rsid w:val="005005D2"/>
    <w:rsid w:val="0050466A"/>
    <w:rsid w:val="00506BBB"/>
    <w:rsid w:val="00510842"/>
    <w:rsid w:val="005118FA"/>
    <w:rsid w:val="005169C6"/>
    <w:rsid w:val="00526CCE"/>
    <w:rsid w:val="00526FD9"/>
    <w:rsid w:val="005333AC"/>
    <w:rsid w:val="00533682"/>
    <w:rsid w:val="0053761A"/>
    <w:rsid w:val="005408CB"/>
    <w:rsid w:val="0054592E"/>
    <w:rsid w:val="00551525"/>
    <w:rsid w:val="00551792"/>
    <w:rsid w:val="0055267B"/>
    <w:rsid w:val="00555E7B"/>
    <w:rsid w:val="00573612"/>
    <w:rsid w:val="005740F9"/>
    <w:rsid w:val="00580613"/>
    <w:rsid w:val="00581A0D"/>
    <w:rsid w:val="00581C95"/>
    <w:rsid w:val="00582959"/>
    <w:rsid w:val="005841DA"/>
    <w:rsid w:val="00584595"/>
    <w:rsid w:val="00587CAD"/>
    <w:rsid w:val="00591360"/>
    <w:rsid w:val="00592587"/>
    <w:rsid w:val="005A1DE0"/>
    <w:rsid w:val="005A2FB2"/>
    <w:rsid w:val="005A54FE"/>
    <w:rsid w:val="005A7F0C"/>
    <w:rsid w:val="005B188B"/>
    <w:rsid w:val="005B2245"/>
    <w:rsid w:val="005B259D"/>
    <w:rsid w:val="005B38CD"/>
    <w:rsid w:val="005B5FF6"/>
    <w:rsid w:val="005C0184"/>
    <w:rsid w:val="005C28A6"/>
    <w:rsid w:val="005C2E07"/>
    <w:rsid w:val="005C314E"/>
    <w:rsid w:val="005C3D39"/>
    <w:rsid w:val="005C7C2B"/>
    <w:rsid w:val="005D286A"/>
    <w:rsid w:val="005E20AA"/>
    <w:rsid w:val="005E433F"/>
    <w:rsid w:val="005E561F"/>
    <w:rsid w:val="005E576C"/>
    <w:rsid w:val="005E71D7"/>
    <w:rsid w:val="005F017F"/>
    <w:rsid w:val="005F1069"/>
    <w:rsid w:val="005F117E"/>
    <w:rsid w:val="005F4ADB"/>
    <w:rsid w:val="005F50B9"/>
    <w:rsid w:val="00601E70"/>
    <w:rsid w:val="00606D09"/>
    <w:rsid w:val="00611861"/>
    <w:rsid w:val="00611E82"/>
    <w:rsid w:val="00612EBA"/>
    <w:rsid w:val="006141FC"/>
    <w:rsid w:val="006152B8"/>
    <w:rsid w:val="00635BC9"/>
    <w:rsid w:val="006365FB"/>
    <w:rsid w:val="00644DB2"/>
    <w:rsid w:val="00644FBA"/>
    <w:rsid w:val="006456D5"/>
    <w:rsid w:val="00645CBE"/>
    <w:rsid w:val="00646E1F"/>
    <w:rsid w:val="006475B9"/>
    <w:rsid w:val="006501C0"/>
    <w:rsid w:val="00652D51"/>
    <w:rsid w:val="00652F1C"/>
    <w:rsid w:val="00654891"/>
    <w:rsid w:val="00654D49"/>
    <w:rsid w:val="00655AC3"/>
    <w:rsid w:val="00656CE8"/>
    <w:rsid w:val="00661BB8"/>
    <w:rsid w:val="00663EF0"/>
    <w:rsid w:val="00664155"/>
    <w:rsid w:val="0066422B"/>
    <w:rsid w:val="0066786F"/>
    <w:rsid w:val="00670922"/>
    <w:rsid w:val="00671C6E"/>
    <w:rsid w:val="0067259B"/>
    <w:rsid w:val="00672913"/>
    <w:rsid w:val="00674F0A"/>
    <w:rsid w:val="00680528"/>
    <w:rsid w:val="006806A5"/>
    <w:rsid w:val="00684B22"/>
    <w:rsid w:val="00686F67"/>
    <w:rsid w:val="00687D03"/>
    <w:rsid w:val="006911F6"/>
    <w:rsid w:val="006A4CA1"/>
    <w:rsid w:val="006B009B"/>
    <w:rsid w:val="006B11C6"/>
    <w:rsid w:val="006B11E2"/>
    <w:rsid w:val="006B2C0D"/>
    <w:rsid w:val="006B5FEF"/>
    <w:rsid w:val="006D0C66"/>
    <w:rsid w:val="006D78DD"/>
    <w:rsid w:val="006E009B"/>
    <w:rsid w:val="006E204B"/>
    <w:rsid w:val="006E2645"/>
    <w:rsid w:val="006E5E93"/>
    <w:rsid w:val="006E79C5"/>
    <w:rsid w:val="006F0861"/>
    <w:rsid w:val="006F1C5C"/>
    <w:rsid w:val="006F21B4"/>
    <w:rsid w:val="006F54B0"/>
    <w:rsid w:val="0070259E"/>
    <w:rsid w:val="00702E12"/>
    <w:rsid w:val="0070482C"/>
    <w:rsid w:val="00704ECE"/>
    <w:rsid w:val="007117E6"/>
    <w:rsid w:val="00714D8A"/>
    <w:rsid w:val="007158C4"/>
    <w:rsid w:val="0072077E"/>
    <w:rsid w:val="007261AD"/>
    <w:rsid w:val="00726356"/>
    <w:rsid w:val="00732C1B"/>
    <w:rsid w:val="0074104C"/>
    <w:rsid w:val="00741F67"/>
    <w:rsid w:val="007457D3"/>
    <w:rsid w:val="00752528"/>
    <w:rsid w:val="00752C9D"/>
    <w:rsid w:val="00753A0D"/>
    <w:rsid w:val="0075435D"/>
    <w:rsid w:val="00755F71"/>
    <w:rsid w:val="00756465"/>
    <w:rsid w:val="00762CCD"/>
    <w:rsid w:val="00763098"/>
    <w:rsid w:val="00770688"/>
    <w:rsid w:val="00772171"/>
    <w:rsid w:val="007748D2"/>
    <w:rsid w:val="00777AD3"/>
    <w:rsid w:val="00781DDA"/>
    <w:rsid w:val="00786743"/>
    <w:rsid w:val="007873A7"/>
    <w:rsid w:val="0079388A"/>
    <w:rsid w:val="007972F1"/>
    <w:rsid w:val="007A0AD6"/>
    <w:rsid w:val="007B2EEA"/>
    <w:rsid w:val="007B4300"/>
    <w:rsid w:val="007B5730"/>
    <w:rsid w:val="007C3C1E"/>
    <w:rsid w:val="007C40C6"/>
    <w:rsid w:val="007C7F2F"/>
    <w:rsid w:val="007D0A6A"/>
    <w:rsid w:val="007D7B93"/>
    <w:rsid w:val="007E0F7F"/>
    <w:rsid w:val="007E3D06"/>
    <w:rsid w:val="007E5891"/>
    <w:rsid w:val="007F0F43"/>
    <w:rsid w:val="007F1095"/>
    <w:rsid w:val="007F318B"/>
    <w:rsid w:val="007F4E86"/>
    <w:rsid w:val="007F5743"/>
    <w:rsid w:val="007F59B0"/>
    <w:rsid w:val="007F5C71"/>
    <w:rsid w:val="007F6F75"/>
    <w:rsid w:val="008012D6"/>
    <w:rsid w:val="00805931"/>
    <w:rsid w:val="00810DD8"/>
    <w:rsid w:val="00814FF2"/>
    <w:rsid w:val="008168DA"/>
    <w:rsid w:val="00823AD8"/>
    <w:rsid w:val="008241E1"/>
    <w:rsid w:val="008257D3"/>
    <w:rsid w:val="00832C4B"/>
    <w:rsid w:val="00835ABA"/>
    <w:rsid w:val="0084175B"/>
    <w:rsid w:val="00841AAE"/>
    <w:rsid w:val="00842041"/>
    <w:rsid w:val="008427E8"/>
    <w:rsid w:val="0084336D"/>
    <w:rsid w:val="00843B99"/>
    <w:rsid w:val="0084436B"/>
    <w:rsid w:val="008452CC"/>
    <w:rsid w:val="00846B65"/>
    <w:rsid w:val="00846EF1"/>
    <w:rsid w:val="00850C70"/>
    <w:rsid w:val="00856A45"/>
    <w:rsid w:val="00866EE7"/>
    <w:rsid w:val="00870100"/>
    <w:rsid w:val="00873626"/>
    <w:rsid w:val="00876124"/>
    <w:rsid w:val="008768F3"/>
    <w:rsid w:val="00880CF1"/>
    <w:rsid w:val="00886999"/>
    <w:rsid w:val="00892D55"/>
    <w:rsid w:val="00893196"/>
    <w:rsid w:val="00897B57"/>
    <w:rsid w:val="00897E3B"/>
    <w:rsid w:val="008A0FA8"/>
    <w:rsid w:val="008A1D63"/>
    <w:rsid w:val="008A1E93"/>
    <w:rsid w:val="008A30FD"/>
    <w:rsid w:val="008A35BA"/>
    <w:rsid w:val="008A6639"/>
    <w:rsid w:val="008B29CD"/>
    <w:rsid w:val="008B3399"/>
    <w:rsid w:val="008B37FD"/>
    <w:rsid w:val="008B46D1"/>
    <w:rsid w:val="008C5F52"/>
    <w:rsid w:val="008C74BE"/>
    <w:rsid w:val="008C7AB0"/>
    <w:rsid w:val="008D32AD"/>
    <w:rsid w:val="008D58DE"/>
    <w:rsid w:val="008E3688"/>
    <w:rsid w:val="008E69CE"/>
    <w:rsid w:val="008E7C4A"/>
    <w:rsid w:val="008F4967"/>
    <w:rsid w:val="008F6F63"/>
    <w:rsid w:val="00905873"/>
    <w:rsid w:val="00905C71"/>
    <w:rsid w:val="009065FB"/>
    <w:rsid w:val="0090726C"/>
    <w:rsid w:val="0091258E"/>
    <w:rsid w:val="00914CF4"/>
    <w:rsid w:val="0092037E"/>
    <w:rsid w:val="009236F8"/>
    <w:rsid w:val="009253B6"/>
    <w:rsid w:val="009253E7"/>
    <w:rsid w:val="00932B61"/>
    <w:rsid w:val="00941D48"/>
    <w:rsid w:val="00944523"/>
    <w:rsid w:val="009445AD"/>
    <w:rsid w:val="00945377"/>
    <w:rsid w:val="00946EA2"/>
    <w:rsid w:val="009603F3"/>
    <w:rsid w:val="009626C3"/>
    <w:rsid w:val="0096692C"/>
    <w:rsid w:val="00970A32"/>
    <w:rsid w:val="00974455"/>
    <w:rsid w:val="0097447E"/>
    <w:rsid w:val="0097678C"/>
    <w:rsid w:val="0098189E"/>
    <w:rsid w:val="00982BB5"/>
    <w:rsid w:val="00991921"/>
    <w:rsid w:val="00991BD9"/>
    <w:rsid w:val="009A504C"/>
    <w:rsid w:val="009A5FE5"/>
    <w:rsid w:val="009C06FD"/>
    <w:rsid w:val="009C0D84"/>
    <w:rsid w:val="009C364C"/>
    <w:rsid w:val="009C3A26"/>
    <w:rsid w:val="009D2BFF"/>
    <w:rsid w:val="009D60FB"/>
    <w:rsid w:val="009E7487"/>
    <w:rsid w:val="009E74E8"/>
    <w:rsid w:val="009E7666"/>
    <w:rsid w:val="009F01B0"/>
    <w:rsid w:val="009F0989"/>
    <w:rsid w:val="009F39B2"/>
    <w:rsid w:val="00A01FD3"/>
    <w:rsid w:val="00A05A65"/>
    <w:rsid w:val="00A06442"/>
    <w:rsid w:val="00A10349"/>
    <w:rsid w:val="00A10587"/>
    <w:rsid w:val="00A11DEF"/>
    <w:rsid w:val="00A13FFA"/>
    <w:rsid w:val="00A16793"/>
    <w:rsid w:val="00A17C5B"/>
    <w:rsid w:val="00A226CC"/>
    <w:rsid w:val="00A23CC2"/>
    <w:rsid w:val="00A25E8A"/>
    <w:rsid w:val="00A308F8"/>
    <w:rsid w:val="00A41A5E"/>
    <w:rsid w:val="00A41D56"/>
    <w:rsid w:val="00A44135"/>
    <w:rsid w:val="00A53352"/>
    <w:rsid w:val="00A53DF2"/>
    <w:rsid w:val="00A57F0C"/>
    <w:rsid w:val="00A57FCF"/>
    <w:rsid w:val="00A60403"/>
    <w:rsid w:val="00A61140"/>
    <w:rsid w:val="00A70C88"/>
    <w:rsid w:val="00A7250B"/>
    <w:rsid w:val="00A730CB"/>
    <w:rsid w:val="00A754F2"/>
    <w:rsid w:val="00A76147"/>
    <w:rsid w:val="00A76DE8"/>
    <w:rsid w:val="00A776E1"/>
    <w:rsid w:val="00A778C3"/>
    <w:rsid w:val="00A819FE"/>
    <w:rsid w:val="00A858F0"/>
    <w:rsid w:val="00A86FE0"/>
    <w:rsid w:val="00A944B0"/>
    <w:rsid w:val="00A945A1"/>
    <w:rsid w:val="00A96125"/>
    <w:rsid w:val="00AA58E0"/>
    <w:rsid w:val="00AA71BD"/>
    <w:rsid w:val="00AB3225"/>
    <w:rsid w:val="00AC02C3"/>
    <w:rsid w:val="00AC5A9D"/>
    <w:rsid w:val="00AC5EA5"/>
    <w:rsid w:val="00AD10E6"/>
    <w:rsid w:val="00AD2BED"/>
    <w:rsid w:val="00AD64B7"/>
    <w:rsid w:val="00AE2F21"/>
    <w:rsid w:val="00AE68E5"/>
    <w:rsid w:val="00AE6D4C"/>
    <w:rsid w:val="00AF1C54"/>
    <w:rsid w:val="00AF2AE4"/>
    <w:rsid w:val="00AF51A4"/>
    <w:rsid w:val="00AF6149"/>
    <w:rsid w:val="00B02C83"/>
    <w:rsid w:val="00B03AE2"/>
    <w:rsid w:val="00B122FB"/>
    <w:rsid w:val="00B12800"/>
    <w:rsid w:val="00B1362D"/>
    <w:rsid w:val="00B21ADC"/>
    <w:rsid w:val="00B22B3A"/>
    <w:rsid w:val="00B32183"/>
    <w:rsid w:val="00B35907"/>
    <w:rsid w:val="00B36041"/>
    <w:rsid w:val="00B4235D"/>
    <w:rsid w:val="00B43756"/>
    <w:rsid w:val="00B43819"/>
    <w:rsid w:val="00B44DD7"/>
    <w:rsid w:val="00B50F70"/>
    <w:rsid w:val="00B53149"/>
    <w:rsid w:val="00B53ECC"/>
    <w:rsid w:val="00B54902"/>
    <w:rsid w:val="00B55323"/>
    <w:rsid w:val="00B80AA9"/>
    <w:rsid w:val="00B84B57"/>
    <w:rsid w:val="00B878A7"/>
    <w:rsid w:val="00B9180C"/>
    <w:rsid w:val="00B92479"/>
    <w:rsid w:val="00B9458A"/>
    <w:rsid w:val="00B963DD"/>
    <w:rsid w:val="00BA0483"/>
    <w:rsid w:val="00BA4D8C"/>
    <w:rsid w:val="00BA4DAD"/>
    <w:rsid w:val="00BA6B29"/>
    <w:rsid w:val="00BA7A88"/>
    <w:rsid w:val="00BA7E6B"/>
    <w:rsid w:val="00BB5D25"/>
    <w:rsid w:val="00BC6F52"/>
    <w:rsid w:val="00BC7995"/>
    <w:rsid w:val="00BE1856"/>
    <w:rsid w:val="00BE1E5E"/>
    <w:rsid w:val="00BE48BE"/>
    <w:rsid w:val="00BF251A"/>
    <w:rsid w:val="00BF2D43"/>
    <w:rsid w:val="00C0051D"/>
    <w:rsid w:val="00C01CFF"/>
    <w:rsid w:val="00C0349B"/>
    <w:rsid w:val="00C0528B"/>
    <w:rsid w:val="00C06151"/>
    <w:rsid w:val="00C1036A"/>
    <w:rsid w:val="00C16178"/>
    <w:rsid w:val="00C20346"/>
    <w:rsid w:val="00C342F8"/>
    <w:rsid w:val="00C40446"/>
    <w:rsid w:val="00C404DC"/>
    <w:rsid w:val="00C41BAD"/>
    <w:rsid w:val="00C425EB"/>
    <w:rsid w:val="00C52C76"/>
    <w:rsid w:val="00C54918"/>
    <w:rsid w:val="00C54C61"/>
    <w:rsid w:val="00C55924"/>
    <w:rsid w:val="00C601D7"/>
    <w:rsid w:val="00C624D9"/>
    <w:rsid w:val="00C66E6F"/>
    <w:rsid w:val="00C6700F"/>
    <w:rsid w:val="00C67511"/>
    <w:rsid w:val="00C6756C"/>
    <w:rsid w:val="00C67BA1"/>
    <w:rsid w:val="00C712B9"/>
    <w:rsid w:val="00C81996"/>
    <w:rsid w:val="00C85FE6"/>
    <w:rsid w:val="00C86B7B"/>
    <w:rsid w:val="00C87623"/>
    <w:rsid w:val="00C924BB"/>
    <w:rsid w:val="00C95ED3"/>
    <w:rsid w:val="00C97772"/>
    <w:rsid w:val="00CA0313"/>
    <w:rsid w:val="00CA4A5D"/>
    <w:rsid w:val="00CA52C7"/>
    <w:rsid w:val="00CB173A"/>
    <w:rsid w:val="00CB4E6E"/>
    <w:rsid w:val="00CB7543"/>
    <w:rsid w:val="00CC1E99"/>
    <w:rsid w:val="00CC2888"/>
    <w:rsid w:val="00CC30F9"/>
    <w:rsid w:val="00CC6C37"/>
    <w:rsid w:val="00CD27AC"/>
    <w:rsid w:val="00CD42DC"/>
    <w:rsid w:val="00CD6DEA"/>
    <w:rsid w:val="00CD7757"/>
    <w:rsid w:val="00CF4959"/>
    <w:rsid w:val="00CF66A7"/>
    <w:rsid w:val="00CF6A28"/>
    <w:rsid w:val="00D02E92"/>
    <w:rsid w:val="00D03E71"/>
    <w:rsid w:val="00D0797C"/>
    <w:rsid w:val="00D165A5"/>
    <w:rsid w:val="00D20731"/>
    <w:rsid w:val="00D2480A"/>
    <w:rsid w:val="00D26C9E"/>
    <w:rsid w:val="00D3013C"/>
    <w:rsid w:val="00D33EC0"/>
    <w:rsid w:val="00D345BA"/>
    <w:rsid w:val="00D40F55"/>
    <w:rsid w:val="00D41A1C"/>
    <w:rsid w:val="00D422FD"/>
    <w:rsid w:val="00D44F0F"/>
    <w:rsid w:val="00D47023"/>
    <w:rsid w:val="00D47683"/>
    <w:rsid w:val="00D47705"/>
    <w:rsid w:val="00D522BC"/>
    <w:rsid w:val="00D57091"/>
    <w:rsid w:val="00D62E3D"/>
    <w:rsid w:val="00D635EC"/>
    <w:rsid w:val="00D6402E"/>
    <w:rsid w:val="00D64256"/>
    <w:rsid w:val="00D65B9E"/>
    <w:rsid w:val="00D66F9C"/>
    <w:rsid w:val="00D708D9"/>
    <w:rsid w:val="00D7347E"/>
    <w:rsid w:val="00D763E9"/>
    <w:rsid w:val="00D81031"/>
    <w:rsid w:val="00D81E2C"/>
    <w:rsid w:val="00D86533"/>
    <w:rsid w:val="00D8672B"/>
    <w:rsid w:val="00D87B14"/>
    <w:rsid w:val="00DA18FF"/>
    <w:rsid w:val="00DA454E"/>
    <w:rsid w:val="00DA61D7"/>
    <w:rsid w:val="00DA6DDA"/>
    <w:rsid w:val="00DA74CF"/>
    <w:rsid w:val="00DB1266"/>
    <w:rsid w:val="00DB5F30"/>
    <w:rsid w:val="00DC05FC"/>
    <w:rsid w:val="00DC0A01"/>
    <w:rsid w:val="00DC2880"/>
    <w:rsid w:val="00DC4EA2"/>
    <w:rsid w:val="00DD21CC"/>
    <w:rsid w:val="00DD5AA9"/>
    <w:rsid w:val="00DD7B39"/>
    <w:rsid w:val="00DE04EC"/>
    <w:rsid w:val="00DE4F08"/>
    <w:rsid w:val="00DE76D4"/>
    <w:rsid w:val="00DE76DD"/>
    <w:rsid w:val="00DF4EFF"/>
    <w:rsid w:val="00DF7011"/>
    <w:rsid w:val="00E162FE"/>
    <w:rsid w:val="00E213B5"/>
    <w:rsid w:val="00E235F6"/>
    <w:rsid w:val="00E236CF"/>
    <w:rsid w:val="00E23A48"/>
    <w:rsid w:val="00E25AD1"/>
    <w:rsid w:val="00E32049"/>
    <w:rsid w:val="00E32F4D"/>
    <w:rsid w:val="00E414B9"/>
    <w:rsid w:val="00E41EEA"/>
    <w:rsid w:val="00E429B7"/>
    <w:rsid w:val="00E42D9D"/>
    <w:rsid w:val="00E448C5"/>
    <w:rsid w:val="00E47D4E"/>
    <w:rsid w:val="00E6214A"/>
    <w:rsid w:val="00E62310"/>
    <w:rsid w:val="00E62DF8"/>
    <w:rsid w:val="00E647DE"/>
    <w:rsid w:val="00E6545D"/>
    <w:rsid w:val="00E807A8"/>
    <w:rsid w:val="00E817EE"/>
    <w:rsid w:val="00E864F7"/>
    <w:rsid w:val="00E867E5"/>
    <w:rsid w:val="00E95A84"/>
    <w:rsid w:val="00E9625B"/>
    <w:rsid w:val="00E97120"/>
    <w:rsid w:val="00E976F9"/>
    <w:rsid w:val="00EA07CE"/>
    <w:rsid w:val="00EA6BF4"/>
    <w:rsid w:val="00EA7DCC"/>
    <w:rsid w:val="00EB2B4D"/>
    <w:rsid w:val="00EC2F90"/>
    <w:rsid w:val="00EC3ED1"/>
    <w:rsid w:val="00EC6CAE"/>
    <w:rsid w:val="00EC750D"/>
    <w:rsid w:val="00ED20D6"/>
    <w:rsid w:val="00EE3492"/>
    <w:rsid w:val="00EE3E9E"/>
    <w:rsid w:val="00EE476D"/>
    <w:rsid w:val="00EE5C55"/>
    <w:rsid w:val="00F00174"/>
    <w:rsid w:val="00F0234D"/>
    <w:rsid w:val="00F12378"/>
    <w:rsid w:val="00F17242"/>
    <w:rsid w:val="00F1791F"/>
    <w:rsid w:val="00F17DE1"/>
    <w:rsid w:val="00F25456"/>
    <w:rsid w:val="00F31404"/>
    <w:rsid w:val="00F316F1"/>
    <w:rsid w:val="00F4007A"/>
    <w:rsid w:val="00F415B7"/>
    <w:rsid w:val="00F43B0B"/>
    <w:rsid w:val="00F43B2B"/>
    <w:rsid w:val="00F45AB3"/>
    <w:rsid w:val="00F50557"/>
    <w:rsid w:val="00F50B28"/>
    <w:rsid w:val="00F52019"/>
    <w:rsid w:val="00F55D97"/>
    <w:rsid w:val="00F606E6"/>
    <w:rsid w:val="00F65D25"/>
    <w:rsid w:val="00F669E2"/>
    <w:rsid w:val="00F725DC"/>
    <w:rsid w:val="00F736E9"/>
    <w:rsid w:val="00F7577E"/>
    <w:rsid w:val="00F8145C"/>
    <w:rsid w:val="00F8398D"/>
    <w:rsid w:val="00F84E1F"/>
    <w:rsid w:val="00F910AD"/>
    <w:rsid w:val="00F96750"/>
    <w:rsid w:val="00FA12CA"/>
    <w:rsid w:val="00FB1D6E"/>
    <w:rsid w:val="00FC0251"/>
    <w:rsid w:val="00FC4FED"/>
    <w:rsid w:val="00FC51E5"/>
    <w:rsid w:val="00FC5817"/>
    <w:rsid w:val="00FD29E0"/>
    <w:rsid w:val="00FD68EC"/>
    <w:rsid w:val="00FE1840"/>
    <w:rsid w:val="00FE4092"/>
    <w:rsid w:val="00FE5B03"/>
    <w:rsid w:val="00FE6331"/>
    <w:rsid w:val="00FF1217"/>
    <w:rsid w:val="00FF38A3"/>
    <w:rsid w:val="00FF5A6D"/>
    <w:rsid w:val="00FF5FAF"/>
    <w:rsid w:val="00FF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275D"/>
  <w15:chartTrackingRefBased/>
  <w15:docId w15:val="{076D541C-173C-4809-AE58-1FBC55BF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F52"/>
    <w:pPr>
      <w:spacing w:after="200" w:line="276" w:lineRule="auto"/>
      <w:ind w:left="720"/>
      <w:contextualSpacing/>
    </w:pPr>
  </w:style>
  <w:style w:type="character" w:styleId="Hyperlink">
    <w:name w:val="Hyperlink"/>
    <w:basedOn w:val="DefaultParagraphFont"/>
    <w:uiPriority w:val="99"/>
    <w:unhideWhenUsed/>
    <w:rsid w:val="00EC3ED1"/>
    <w:rPr>
      <w:color w:val="0563C1" w:themeColor="hyperlink"/>
      <w:u w:val="single"/>
    </w:rPr>
  </w:style>
  <w:style w:type="character" w:customStyle="1" w:styleId="UnresolvedMention1">
    <w:name w:val="Unresolved Mention1"/>
    <w:basedOn w:val="DefaultParagraphFont"/>
    <w:uiPriority w:val="99"/>
    <w:semiHidden/>
    <w:unhideWhenUsed/>
    <w:rsid w:val="0048221A"/>
    <w:rPr>
      <w:color w:val="605E5C"/>
      <w:shd w:val="clear" w:color="auto" w:fill="E1DFDD"/>
    </w:rPr>
  </w:style>
  <w:style w:type="paragraph" w:styleId="BalloonText">
    <w:name w:val="Balloon Text"/>
    <w:basedOn w:val="Normal"/>
    <w:link w:val="BalloonTextChar"/>
    <w:uiPriority w:val="99"/>
    <w:semiHidden/>
    <w:unhideWhenUsed/>
    <w:rsid w:val="00AC5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EA5"/>
    <w:rPr>
      <w:rFonts w:ascii="Segoe UI" w:hAnsi="Segoe UI" w:cs="Segoe UI"/>
      <w:sz w:val="18"/>
      <w:szCs w:val="18"/>
    </w:rPr>
  </w:style>
  <w:style w:type="paragraph" w:styleId="FootnoteText">
    <w:name w:val="footnote text"/>
    <w:basedOn w:val="Normal"/>
    <w:link w:val="FootnoteTextChar"/>
    <w:uiPriority w:val="99"/>
    <w:unhideWhenUsed/>
    <w:rsid w:val="00B35907"/>
    <w:pPr>
      <w:spacing w:after="0" w:line="240" w:lineRule="auto"/>
    </w:pPr>
    <w:rPr>
      <w:sz w:val="20"/>
      <w:szCs w:val="20"/>
    </w:rPr>
  </w:style>
  <w:style w:type="character" w:customStyle="1" w:styleId="FootnoteTextChar">
    <w:name w:val="Footnote Text Char"/>
    <w:basedOn w:val="DefaultParagraphFont"/>
    <w:link w:val="FootnoteText"/>
    <w:uiPriority w:val="99"/>
    <w:rsid w:val="00B35907"/>
    <w:rPr>
      <w:sz w:val="20"/>
      <w:szCs w:val="20"/>
    </w:rPr>
  </w:style>
  <w:style w:type="character" w:styleId="Emphasis">
    <w:name w:val="Emphasis"/>
    <w:basedOn w:val="DefaultParagraphFont"/>
    <w:uiPriority w:val="20"/>
    <w:qFormat/>
    <w:rsid w:val="008241E1"/>
    <w:rPr>
      <w:i/>
      <w:iCs/>
    </w:rPr>
  </w:style>
  <w:style w:type="paragraph" w:styleId="BodyText">
    <w:name w:val="Body Text"/>
    <w:basedOn w:val="Normal"/>
    <w:link w:val="BodyTextChar"/>
    <w:rsid w:val="00B32183"/>
    <w:pPr>
      <w:spacing w:after="0" w:line="240" w:lineRule="auto"/>
      <w:ind w:right="-720"/>
    </w:pPr>
    <w:rPr>
      <w:rFonts w:ascii="Times" w:eastAsia="Times New Roman" w:hAnsi="Times" w:cs="Times New Roman"/>
      <w:sz w:val="24"/>
      <w:szCs w:val="20"/>
      <w:lang w:eastAsia="en-US"/>
    </w:rPr>
  </w:style>
  <w:style w:type="character" w:customStyle="1" w:styleId="BodyTextChar">
    <w:name w:val="Body Text Char"/>
    <w:basedOn w:val="DefaultParagraphFont"/>
    <w:link w:val="BodyText"/>
    <w:rsid w:val="00B32183"/>
    <w:rPr>
      <w:rFonts w:ascii="Times" w:eastAsia="Times New Roman" w:hAnsi="Times" w:cs="Times New Roman"/>
      <w:sz w:val="24"/>
      <w:szCs w:val="20"/>
      <w:lang w:eastAsia="en-US"/>
    </w:rPr>
  </w:style>
  <w:style w:type="character" w:styleId="UnresolvedMention">
    <w:name w:val="Unresolved Mention"/>
    <w:basedOn w:val="DefaultParagraphFont"/>
    <w:uiPriority w:val="99"/>
    <w:rsid w:val="00E213B5"/>
    <w:rPr>
      <w:color w:val="605E5C"/>
      <w:shd w:val="clear" w:color="auto" w:fill="E1DFDD"/>
    </w:rPr>
  </w:style>
  <w:style w:type="paragraph" w:customStyle="1" w:styleId="HEADERA">
    <w:name w:val="HEADER A"/>
    <w:basedOn w:val="Normal"/>
    <w:link w:val="HEADERAChar"/>
    <w:qFormat/>
    <w:rsid w:val="00A754F2"/>
    <w:pPr>
      <w:spacing w:after="120" w:line="240" w:lineRule="auto"/>
    </w:pPr>
    <w:rPr>
      <w:rFonts w:ascii="Century Gothic" w:eastAsiaTheme="minorHAnsi" w:hAnsi="Century Gothic" w:cs="Arial"/>
      <w:bCs/>
      <w:caps/>
      <w:color w:val="2E74B5" w:themeColor="accent5" w:themeShade="BF"/>
      <w:sz w:val="24"/>
      <w:szCs w:val="20"/>
      <w:lang w:eastAsia="en-US"/>
    </w:rPr>
  </w:style>
  <w:style w:type="character" w:customStyle="1" w:styleId="HEADERAChar">
    <w:name w:val="HEADER A Char"/>
    <w:basedOn w:val="DefaultParagraphFont"/>
    <w:link w:val="HEADERA"/>
    <w:rsid w:val="00A754F2"/>
    <w:rPr>
      <w:rFonts w:ascii="Century Gothic" w:eastAsiaTheme="minorHAnsi" w:hAnsi="Century Gothic" w:cs="Arial"/>
      <w:bCs/>
      <w:caps/>
      <w:color w:val="2E74B5" w:themeColor="accent5" w:themeShade="BF"/>
      <w:sz w:val="24"/>
      <w:szCs w:val="20"/>
      <w:lang w:eastAsia="en-US"/>
    </w:rPr>
  </w:style>
  <w:style w:type="paragraph" w:customStyle="1" w:styleId="HeaderAFill">
    <w:name w:val="Header A Fill"/>
    <w:basedOn w:val="HEADERA"/>
    <w:link w:val="HeaderAFillChar"/>
    <w:qFormat/>
    <w:rsid w:val="00A754F2"/>
    <w:pPr>
      <w:pBdr>
        <w:top w:val="single" w:sz="8" w:space="2" w:color="323E4F" w:themeColor="text2" w:themeShade="BF"/>
        <w:left w:val="single" w:sz="8" w:space="5" w:color="323E4F" w:themeColor="text2" w:themeShade="BF"/>
        <w:bottom w:val="single" w:sz="8" w:space="2" w:color="323E4F" w:themeColor="text2" w:themeShade="BF"/>
        <w:right w:val="single" w:sz="8" w:space="5" w:color="323E4F" w:themeColor="text2" w:themeShade="BF"/>
      </w:pBdr>
      <w:shd w:val="clear" w:color="auto" w:fill="8496B0" w:themeFill="text2" w:themeFillTint="99"/>
      <w:spacing w:after="0"/>
    </w:pPr>
    <w:rPr>
      <w:b/>
      <w:color w:val="FFFFFF" w:themeColor="background1"/>
    </w:rPr>
  </w:style>
  <w:style w:type="character" w:customStyle="1" w:styleId="HeaderAFillChar">
    <w:name w:val="Header A Fill Char"/>
    <w:basedOn w:val="HEADERAChar"/>
    <w:link w:val="HeaderAFill"/>
    <w:rsid w:val="00A754F2"/>
    <w:rPr>
      <w:rFonts w:ascii="Century Gothic" w:eastAsiaTheme="minorHAnsi" w:hAnsi="Century Gothic" w:cs="Arial"/>
      <w:b/>
      <w:bCs/>
      <w:caps/>
      <w:color w:val="FFFFFF" w:themeColor="background1"/>
      <w:sz w:val="24"/>
      <w:szCs w:val="20"/>
      <w:shd w:val="clear" w:color="auto" w:fill="8496B0" w:themeFill="text2" w:themeFillTint="99"/>
      <w:lang w:eastAsia="en-US"/>
    </w:rPr>
  </w:style>
  <w:style w:type="character" w:styleId="Strong">
    <w:name w:val="Strong"/>
    <w:basedOn w:val="DefaultParagraphFont"/>
    <w:uiPriority w:val="22"/>
    <w:qFormat/>
    <w:rsid w:val="00A754F2"/>
    <w:rPr>
      <w:b/>
      <w:bCs/>
    </w:rPr>
  </w:style>
  <w:style w:type="character" w:styleId="CommentReference">
    <w:name w:val="annotation reference"/>
    <w:basedOn w:val="DefaultParagraphFont"/>
    <w:uiPriority w:val="99"/>
    <w:semiHidden/>
    <w:unhideWhenUsed/>
    <w:rsid w:val="00262275"/>
    <w:rPr>
      <w:sz w:val="16"/>
      <w:szCs w:val="16"/>
    </w:rPr>
  </w:style>
  <w:style w:type="paragraph" w:styleId="CommentText">
    <w:name w:val="annotation text"/>
    <w:basedOn w:val="Normal"/>
    <w:link w:val="CommentTextChar"/>
    <w:uiPriority w:val="99"/>
    <w:unhideWhenUsed/>
    <w:rsid w:val="00262275"/>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262275"/>
    <w:rPr>
      <w:rFonts w:eastAsiaTheme="minorHAnsi"/>
      <w:sz w:val="20"/>
      <w:szCs w:val="20"/>
      <w:lang w:eastAsia="en-US"/>
    </w:rPr>
  </w:style>
  <w:style w:type="paragraph" w:customStyle="1" w:styleId="Default">
    <w:name w:val="Default"/>
    <w:rsid w:val="00F4007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16483"/>
    <w:pPr>
      <w:spacing w:after="0" w:line="240" w:lineRule="auto"/>
    </w:pPr>
  </w:style>
  <w:style w:type="table" w:styleId="TableGrid">
    <w:name w:val="Table Grid"/>
    <w:basedOn w:val="TableNormal"/>
    <w:uiPriority w:val="39"/>
    <w:rsid w:val="000164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65D25"/>
    <w:rPr>
      <w:rFonts w:eastAsiaTheme="minorEastAsia"/>
      <w:b/>
      <w:bCs/>
      <w:lang w:eastAsia="zh-CN"/>
    </w:rPr>
  </w:style>
  <w:style w:type="character" w:customStyle="1" w:styleId="CommentSubjectChar">
    <w:name w:val="Comment Subject Char"/>
    <w:basedOn w:val="CommentTextChar"/>
    <w:link w:val="CommentSubject"/>
    <w:uiPriority w:val="99"/>
    <w:semiHidden/>
    <w:rsid w:val="00F65D25"/>
    <w:rPr>
      <w:rFonts w:eastAsiaTheme="minorHAnsi"/>
      <w:b/>
      <w:bCs/>
      <w:sz w:val="20"/>
      <w:szCs w:val="20"/>
      <w:lang w:eastAsia="en-US"/>
    </w:rPr>
  </w:style>
  <w:style w:type="character" w:styleId="FootnoteReference">
    <w:name w:val="footnote reference"/>
    <w:basedOn w:val="DefaultParagraphFont"/>
    <w:uiPriority w:val="99"/>
    <w:semiHidden/>
    <w:unhideWhenUsed/>
    <w:rsid w:val="00A96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722">
      <w:bodyDiv w:val="1"/>
      <w:marLeft w:val="0"/>
      <w:marRight w:val="0"/>
      <w:marTop w:val="0"/>
      <w:marBottom w:val="0"/>
      <w:divBdr>
        <w:top w:val="none" w:sz="0" w:space="0" w:color="auto"/>
        <w:left w:val="none" w:sz="0" w:space="0" w:color="auto"/>
        <w:bottom w:val="none" w:sz="0" w:space="0" w:color="auto"/>
        <w:right w:val="none" w:sz="0" w:space="0" w:color="auto"/>
      </w:divBdr>
    </w:div>
    <w:div w:id="7374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erican.edu/academics/integrity" TargetMode="External"/><Relationship Id="rId18" Type="http://schemas.openxmlformats.org/officeDocument/2006/relationships/hyperlink" Target="https://www.american.edu/emergen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merican.edu/provost/academic-access/documentation-and-eligibility.cfm" TargetMode="External"/><Relationship Id="rId7" Type="http://schemas.openxmlformats.org/officeDocument/2006/relationships/endnotes" Target="endnotes.xml"/><Relationship Id="rId12" Type="http://schemas.openxmlformats.org/officeDocument/2006/relationships/hyperlink" Target="http://www.american.edu/ocl/dos" TargetMode="External"/><Relationship Id="rId17" Type="http://schemas.openxmlformats.org/officeDocument/2006/relationships/hyperlink" Target="https://www.american.edu/ocl/counseling/covid-resources.c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erican.edu/ocl/counseling/" TargetMode="External"/><Relationship Id="rId20" Type="http://schemas.openxmlformats.org/officeDocument/2006/relationships/hyperlink" Target="https://auhpac.youcanbook.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edu/academics/integrity/code.cfm" TargetMode="External"/><Relationship Id="rId24" Type="http://schemas.openxmlformats.org/officeDocument/2006/relationships/hyperlink" Target="http://www.american.mywconline.net/" TargetMode="External"/><Relationship Id="rId5" Type="http://schemas.openxmlformats.org/officeDocument/2006/relationships/webSettings" Target="webSettings.xml"/><Relationship Id="rId15" Type="http://schemas.openxmlformats.org/officeDocument/2006/relationships/hyperlink" Target="https://www.american.edu/ocl/cdi/" TargetMode="External"/><Relationship Id="rId23" Type="http://schemas.openxmlformats.org/officeDocument/2006/relationships/hyperlink" Target="https://www.american.edu/provost/academic-access/writing-center/" TargetMode="External"/><Relationship Id="rId10" Type="http://schemas.openxmlformats.org/officeDocument/2006/relationships/hyperlink" Target="http://www.chinafile.com/reporting-opinion/viewpoint/why-do-we-keep-writing-about-chinese-politics-if-we-know-more-we-do" TargetMode="External"/><Relationship Id="rId19" Type="http://schemas.openxmlformats.org/officeDocument/2006/relationships/hyperlink" Target="https://www.american.edu/ocl/promote-health/index.cfm" TargetMode="External"/><Relationship Id="rId4" Type="http://schemas.openxmlformats.org/officeDocument/2006/relationships/settings" Target="settings.xml"/><Relationship Id="rId9" Type="http://schemas.openxmlformats.org/officeDocument/2006/relationships/hyperlink" Target="https://nsarchive2.gwu.edu//nsa/foia/foia_guide/foia_guide_full.pdf" TargetMode="External"/><Relationship Id="rId14" Type="http://schemas.openxmlformats.org/officeDocument/2006/relationships/hyperlink" Target="https://www.american.edu/provost/academic-access/" TargetMode="External"/><Relationship Id="rId22" Type="http://schemas.openxmlformats.org/officeDocument/2006/relationships/hyperlink" Target="mailto:asac@americ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28AB-74E9-4178-AE5F-C8ECEE86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27</Pages>
  <Words>10250</Words>
  <Characters>58431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j t</cp:lastModifiedBy>
  <cp:revision>316</cp:revision>
  <cp:lastPrinted>2023-01-09T13:55:00Z</cp:lastPrinted>
  <dcterms:created xsi:type="dcterms:W3CDTF">2022-11-25T23:27:00Z</dcterms:created>
  <dcterms:modified xsi:type="dcterms:W3CDTF">2023-01-09T17:34:00Z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id="CUDZU1wF"/&gt;&lt;style id="http://www.zotero.org/styles/chicago-fullnote-bibliography" locale="en-US" hasBibliography="1" bibliographyStyleHasBeenSet="0"/&gt;&lt;prefs&gt;&lt;pref name="noteType" value="1"/&gt;&lt;pref</vt:lpwstr>
  </property>
  <property fmtid="{D5CDD505-2E9C-101B-9397-08002B2CF9AE}" pid="3" name="ZOTERO_PREF_2">
    <vt:lpwstr> name="fieldType" value="Field"/&gt;&lt;/prefs&gt;&lt;/data&gt;</vt:lpwstr>
  </property>
</Properties>
</file>